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Metode Muqarran : Teori dan Aplikasi</w:t>
      </w:r>
    </w:p>
    <w:p w:rsidR="00000000" w:rsidDel="00000000" w:rsidP="00000000" w:rsidRDefault="00000000" w:rsidRPr="00000000" w14:paraId="00000002">
      <w:pPr>
        <w:pageBreakBefore w:val="0"/>
        <w:rPr>
          <w:b w:val="1"/>
          <w:sz w:val="28"/>
          <w:szCs w:val="28"/>
        </w:rPr>
      </w:pPr>
      <w:r w:rsidDel="00000000" w:rsidR="00000000" w:rsidRPr="00000000">
        <w:rPr>
          <w:rtl w:val="0"/>
        </w:rPr>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Penulis Pertama (Time New Roman 12, Bold)</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Afiliasi penulis pertama  (Time New Roman 12, normal)</w:t>
      </w:r>
    </w:p>
    <w:p w:rsidR="00000000" w:rsidDel="00000000" w:rsidP="00000000" w:rsidRDefault="00000000" w:rsidRPr="00000000" w14:paraId="00000005">
      <w:pPr>
        <w:pageBreakBefore w:val="0"/>
        <w:rPr>
          <w:i w:val="1"/>
          <w:sz w:val="24"/>
          <w:szCs w:val="24"/>
        </w:rPr>
      </w:pPr>
      <w:r w:rsidDel="00000000" w:rsidR="00000000" w:rsidRPr="00000000">
        <w:rPr>
          <w:i w:val="1"/>
          <w:sz w:val="24"/>
          <w:szCs w:val="24"/>
          <w:rtl w:val="0"/>
        </w:rPr>
        <w:t xml:space="preserve">Email: email penulis pertama (Time New Roman 12, italic)</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b w:val="1"/>
          <w:sz w:val="24"/>
          <w:szCs w:val="24"/>
        </w:rPr>
      </w:pPr>
      <w:r w:rsidDel="00000000" w:rsidR="00000000" w:rsidRPr="00000000">
        <w:rPr>
          <w:b w:val="1"/>
          <w:sz w:val="24"/>
          <w:szCs w:val="24"/>
          <w:rtl w:val="0"/>
        </w:rPr>
        <w:t xml:space="preserve">Penulis Kedua (jika ada) (Time New Roman 12, Bold)</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Afiliasi penulis kedua (jika ada) (Time New Roman 12, normal)</w:t>
      </w:r>
    </w:p>
    <w:p w:rsidR="00000000" w:rsidDel="00000000" w:rsidP="00000000" w:rsidRDefault="00000000" w:rsidRPr="00000000" w14:paraId="00000009">
      <w:pPr>
        <w:pageBreakBefore w:val="0"/>
        <w:rPr>
          <w:i w:val="1"/>
          <w:sz w:val="24"/>
          <w:szCs w:val="24"/>
        </w:rPr>
      </w:pPr>
      <w:r w:rsidDel="00000000" w:rsidR="00000000" w:rsidRPr="00000000">
        <w:rPr>
          <w:i w:val="1"/>
          <w:sz w:val="24"/>
          <w:szCs w:val="24"/>
          <w:rtl w:val="0"/>
        </w:rPr>
        <w:t xml:space="preserve">Email: email penulis kedua (Time New Roman 12, italic)</w:t>
      </w:r>
    </w:p>
    <w:p w:rsidR="00000000" w:rsidDel="00000000" w:rsidP="00000000" w:rsidRDefault="00000000" w:rsidRPr="00000000" w14:paraId="0000000A">
      <w:pPr>
        <w:pageBreakBefore w:val="0"/>
        <w:rPr>
          <w:b w:val="1"/>
          <w:sz w:val="24"/>
          <w:szCs w:val="24"/>
          <w:highlight w:val="red"/>
        </w:rPr>
      </w:pPr>
      <w:r w:rsidDel="00000000" w:rsidR="00000000" w:rsidRPr="00000000">
        <w:rPr>
          <w:b w:val="1"/>
          <w:sz w:val="24"/>
          <w:szCs w:val="24"/>
          <w:highlight w:val="red"/>
          <w:rtl w:val="0"/>
        </w:rPr>
        <w:t xml:space="preserve">No Hp/WA: 08xxxxxxxxxx (wajib)</w:t>
      </w:r>
    </w:p>
    <w:p w:rsidR="00000000" w:rsidDel="00000000" w:rsidP="00000000" w:rsidRDefault="00000000" w:rsidRPr="00000000" w14:paraId="0000000B">
      <w:pPr>
        <w:pageBreakBefore w:val="0"/>
        <w:rPr>
          <w:i w:val="1"/>
          <w:sz w:val="24"/>
          <w:szCs w:val="24"/>
        </w:rPr>
      </w:pPr>
      <w:r w:rsidDel="00000000" w:rsidR="00000000" w:rsidRPr="00000000">
        <w:rPr>
          <w:rtl w:val="0"/>
        </w:rPr>
      </w:r>
    </w:p>
    <w:p w:rsidR="00000000" w:rsidDel="00000000" w:rsidP="00000000" w:rsidRDefault="00000000" w:rsidRPr="00000000" w14:paraId="0000000C">
      <w:pPr>
        <w:pageBreakBefore w:val="0"/>
        <w:pBdr>
          <w:top w:color="000000" w:space="1" w:sz="4" w:val="single"/>
        </w:pBdr>
        <w:jc w:val="both"/>
        <w:rPr>
          <w:sz w:val="24"/>
          <w:szCs w:val="24"/>
        </w:rPr>
      </w:pPr>
      <w:r w:rsidDel="00000000" w:rsidR="00000000" w:rsidRPr="00000000">
        <w:rPr>
          <w:b w:val="1"/>
          <w:sz w:val="24"/>
          <w:szCs w:val="24"/>
          <w:rtl w:val="0"/>
        </w:rPr>
        <w:t xml:space="preserve">Abtract</w:t>
      </w:r>
      <w:r w:rsidDel="00000000" w:rsidR="00000000" w:rsidRPr="00000000">
        <w:rPr>
          <w:sz w:val="24"/>
          <w:szCs w:val="24"/>
          <w:rtl w:val="0"/>
        </w:rPr>
        <w:t xml:space="preserve">:  Abstrak ditulis dalama bahasa Inggris. Bila artikel berbahasa Inggris, maka abstrak di sini ditulis dalam bahasa Indonesia. Abtstak tidak boleh lebih dari 300 kata. Abstrak ditulis secara sistematis mencakup: 1) tujuan keseluruhan penelitian dan masalah penelitian yang Anda selidiki; 2) desain dasar penelitian; 3) temuan atau tren utama yang ditemukan sebagai hasil analisis Anda; dan, 4) ringkasan singkat dari interpretasi dan kesimpulan penulis.</w:t>
      </w:r>
    </w:p>
    <w:p w:rsidR="00000000" w:rsidDel="00000000" w:rsidP="00000000" w:rsidRDefault="00000000" w:rsidRPr="00000000" w14:paraId="0000000D">
      <w:pPr>
        <w:pageBreakBefore w:val="0"/>
        <w:jc w:val="both"/>
        <w:rPr>
          <w:sz w:val="24"/>
          <w:szCs w:val="24"/>
        </w:rPr>
      </w:pPr>
      <w:r w:rsidDel="00000000" w:rsidR="00000000" w:rsidRPr="00000000">
        <w:rPr>
          <w:rtl w:val="0"/>
        </w:rPr>
      </w:r>
    </w:p>
    <w:p w:rsidR="00000000" w:rsidDel="00000000" w:rsidP="00000000" w:rsidRDefault="00000000" w:rsidRPr="00000000" w14:paraId="0000000E">
      <w:pPr>
        <w:pageBreakBefore w:val="0"/>
        <w:jc w:val="both"/>
        <w:rPr>
          <w:sz w:val="24"/>
          <w:szCs w:val="24"/>
        </w:rPr>
      </w:pPr>
      <w:r w:rsidDel="00000000" w:rsidR="00000000" w:rsidRPr="00000000">
        <w:rPr>
          <w:b w:val="1"/>
          <w:sz w:val="24"/>
          <w:szCs w:val="24"/>
          <w:rtl w:val="0"/>
        </w:rPr>
        <w:t xml:space="preserve">Abstrak</w:t>
      </w:r>
      <w:r w:rsidDel="00000000" w:rsidR="00000000" w:rsidRPr="00000000">
        <w:rPr>
          <w:sz w:val="24"/>
          <w:szCs w:val="24"/>
          <w:rtl w:val="0"/>
        </w:rPr>
        <w:t xml:space="preserve">:  Teks di sini merupakan terjemahan bahasa Indonesia dari abstrak diatas. Jika artikel dalam bahasa Inggris, maka abstrak di sini ditulis dengan bahasa Inggris, sama dengan bahasa artikelnya. Keseluruhan huruf dalam abstrak di sini juga tidak lebih dari 300 kata.</w:t>
      </w:r>
    </w:p>
    <w:p w:rsidR="00000000" w:rsidDel="00000000" w:rsidP="00000000" w:rsidRDefault="00000000" w:rsidRPr="00000000" w14:paraId="0000000F">
      <w:pPr>
        <w:pageBreakBefore w:val="0"/>
        <w:jc w:val="both"/>
        <w:rPr>
          <w:sz w:val="24"/>
          <w:szCs w:val="24"/>
        </w:rPr>
      </w:pPr>
      <w:r w:rsidDel="00000000" w:rsidR="00000000" w:rsidRPr="00000000">
        <w:rPr>
          <w:rtl w:val="0"/>
        </w:rPr>
      </w:r>
    </w:p>
    <w:p w:rsidR="00000000" w:rsidDel="00000000" w:rsidP="00000000" w:rsidRDefault="00000000" w:rsidRPr="00000000" w14:paraId="00000010">
      <w:pPr>
        <w:pageBreakBefore w:val="0"/>
        <w:pBdr>
          <w:bottom w:color="000000" w:space="1" w:sz="4" w:val="single"/>
        </w:pBdr>
        <w:jc w:val="both"/>
        <w:rPr>
          <w:sz w:val="24"/>
          <w:szCs w:val="24"/>
        </w:rPr>
      </w:pPr>
      <w:r w:rsidDel="00000000" w:rsidR="00000000" w:rsidRPr="00000000">
        <w:rPr>
          <w:b w:val="1"/>
          <w:sz w:val="24"/>
          <w:szCs w:val="24"/>
          <w:rtl w:val="0"/>
        </w:rPr>
        <w:t xml:space="preserve">Kata Kunci:</w:t>
      </w:r>
      <w:r w:rsidDel="00000000" w:rsidR="00000000" w:rsidRPr="00000000">
        <w:rPr>
          <w:sz w:val="24"/>
          <w:szCs w:val="24"/>
          <w:rtl w:val="0"/>
        </w:rPr>
        <w:t xml:space="preserve"> Masukkan kata kunci, minimum 3 kata, maksimum 5 kata.</w:t>
      </w:r>
    </w:p>
    <w:p w:rsidR="00000000" w:rsidDel="00000000" w:rsidP="00000000" w:rsidRDefault="00000000" w:rsidRPr="00000000" w14:paraId="00000011">
      <w:pPr>
        <w:pageBreakBefore w:val="0"/>
        <w:jc w:val="both"/>
        <w:rPr>
          <w:sz w:val="24"/>
          <w:szCs w:val="24"/>
        </w:rPr>
      </w:pPr>
      <w:r w:rsidDel="00000000" w:rsidR="00000000" w:rsidRPr="00000000">
        <w:rPr>
          <w:rtl w:val="0"/>
        </w:rPr>
      </w:r>
    </w:p>
    <w:p w:rsidR="00000000" w:rsidDel="00000000" w:rsidP="00000000" w:rsidRDefault="00000000" w:rsidRPr="00000000" w14:paraId="00000012">
      <w:pPr>
        <w:pageBreakBefore w:val="0"/>
        <w:jc w:val="both"/>
        <w:rPr>
          <w:b w:val="1"/>
          <w:sz w:val="24"/>
          <w:szCs w:val="24"/>
        </w:rPr>
      </w:pPr>
      <w:r w:rsidDel="00000000" w:rsidR="00000000" w:rsidRPr="00000000">
        <w:rPr>
          <w:b w:val="1"/>
          <w:sz w:val="24"/>
          <w:szCs w:val="24"/>
          <w:rtl w:val="0"/>
        </w:rPr>
        <w:t xml:space="preserve">Pendahuluan</w:t>
      </w:r>
    </w:p>
    <w:p w:rsidR="00000000" w:rsidDel="00000000" w:rsidP="00000000" w:rsidRDefault="00000000" w:rsidRPr="00000000" w14:paraId="00000013">
      <w:pPr>
        <w:pageBreakBefore w:val="0"/>
        <w:ind w:firstLine="720"/>
        <w:jc w:val="both"/>
        <w:rPr>
          <w:sz w:val="24"/>
          <w:szCs w:val="24"/>
        </w:rPr>
      </w:pPr>
      <w:r w:rsidDel="00000000" w:rsidR="00000000" w:rsidRPr="00000000">
        <w:rPr>
          <w:sz w:val="24"/>
          <w:szCs w:val="24"/>
          <w:rtl w:val="0"/>
        </w:rPr>
        <w:t xml:space="preserve">Struktur penulisan dalam jurnal Substantia: Ilmu-Ilmu Ushuluddin mengikuti sistem pembahasan menggunakan format IMRAD (</w:t>
      </w:r>
      <w:r w:rsidDel="00000000" w:rsidR="00000000" w:rsidRPr="00000000">
        <w:rPr>
          <w:i w:val="1"/>
          <w:sz w:val="24"/>
          <w:szCs w:val="24"/>
          <w:rtl w:val="0"/>
        </w:rPr>
        <w:t xml:space="preserve">Introduction, Method, Result, and Discussion</w:t>
      </w:r>
      <w:r w:rsidDel="00000000" w:rsidR="00000000" w:rsidRPr="00000000">
        <w:rPr>
          <w:sz w:val="24"/>
          <w:szCs w:val="24"/>
          <w:rtl w:val="0"/>
        </w:rPr>
        <w:t xml:space="preserve">). Pendahuluan harus terdiri dari latar belakang, masalah penelitian, tujuan, dan hipotesis (jika ada). Ini memberikan kepada pembaca informasi penting tentang topik yang sedang dikaji, seperti, mencermati dan memperluas kajian sebelumnya, mendeskripsikan dan  menginformasikan mengapa dan dengan mengapa masalah penelitian ada, atau menentukan komponen kunci dari kajian yang dibahas (konsep, orang, tempat, benda). Informasi latar belakang harus menunjukkan akar masalah yang sedang dipelajari, konteks masalah yang sesuai dalam kaitannya dengan teori, penelitian, dan/atau praktik, ruang lingkupnya, dan sejauh mana penelitian sebelumnya telah berhasil mengkaji masalah, dengan memperhatikan, khususnya, di mana posisi kajian yang Anda lakukan tentang masalah tersebut.</w:t>
      </w:r>
    </w:p>
    <w:p w:rsidR="00000000" w:rsidDel="00000000" w:rsidP="00000000" w:rsidRDefault="00000000" w:rsidRPr="00000000" w14:paraId="00000014">
      <w:pPr>
        <w:pageBreakBefore w:val="0"/>
        <w:jc w:val="both"/>
        <w:rPr>
          <w:sz w:val="24"/>
          <w:szCs w:val="24"/>
        </w:rPr>
      </w:pPr>
      <w:r w:rsidDel="00000000" w:rsidR="00000000" w:rsidRPr="00000000">
        <w:rPr>
          <w:rtl w:val="0"/>
        </w:rPr>
      </w:r>
    </w:p>
    <w:p w:rsidR="00000000" w:rsidDel="00000000" w:rsidP="00000000" w:rsidRDefault="00000000" w:rsidRPr="00000000" w14:paraId="00000015">
      <w:pPr>
        <w:pageBreakBefore w:val="0"/>
        <w:jc w:val="both"/>
        <w:rPr>
          <w:b w:val="1"/>
          <w:sz w:val="24"/>
          <w:szCs w:val="24"/>
        </w:rPr>
      </w:pPr>
      <w:r w:rsidDel="00000000" w:rsidR="00000000" w:rsidRPr="00000000">
        <w:rPr>
          <w:b w:val="1"/>
          <w:sz w:val="24"/>
          <w:szCs w:val="24"/>
          <w:rtl w:val="0"/>
        </w:rPr>
        <w:t xml:space="preserve">Sub Pembahasan (Time New Roman 12, Bold)</w:t>
      </w:r>
    </w:p>
    <w:p w:rsidR="00000000" w:rsidDel="00000000" w:rsidP="00000000" w:rsidRDefault="00000000" w:rsidRPr="00000000" w14:paraId="00000016">
      <w:pPr>
        <w:pageBreakBefore w:val="0"/>
        <w:ind w:firstLine="709"/>
        <w:jc w:val="both"/>
        <w:rPr>
          <w:sz w:val="24"/>
          <w:szCs w:val="24"/>
        </w:rPr>
      </w:pPr>
      <w:r w:rsidDel="00000000" w:rsidR="00000000" w:rsidRPr="00000000">
        <w:rPr>
          <w:sz w:val="24"/>
          <w:szCs w:val="24"/>
          <w:rtl w:val="0"/>
        </w:rPr>
        <w:t xml:space="preserve">Pembahasan berisi hasil temuan penelitian dan pembahasannya. Tuliskan temuan-temuan yang diperoleh dari hasil penelitian yang telah dilakukan. Temuan-temuan yang dituliskan harus didukung dengan data-data yang memadai. Temuan-temuan diarahkan untuk menjawab pertanyaan atau hipotesis yang telah dikemukakan.</w:t>
      </w:r>
    </w:p>
    <w:p w:rsidR="00000000" w:rsidDel="00000000" w:rsidP="00000000" w:rsidRDefault="00000000" w:rsidRPr="00000000" w14:paraId="00000017">
      <w:pPr>
        <w:pageBreakBefore w:val="0"/>
        <w:ind w:firstLine="709"/>
        <w:jc w:val="both"/>
        <w:rPr>
          <w:sz w:val="24"/>
          <w:szCs w:val="24"/>
        </w:rPr>
      </w:pPr>
      <w:r w:rsidDel="00000000" w:rsidR="00000000" w:rsidRPr="00000000">
        <w:rPr>
          <w:sz w:val="24"/>
          <w:szCs w:val="24"/>
          <w:rtl w:val="0"/>
        </w:rPr>
        <w:t xml:space="preserve">Penyajian data dan pembahasannya harus dilakukan dengan cara perujukan pada sumber-sumber primer. Sumber primer yang dijadikan acuan adalah sumber primer mutakhir, 10 tahun terakhir, terutama berasal dari artikel-artikel jurnal ilmiah. Bila perujukan tak dapat mengindarkan sumber sumber primer klasik, maka perujukan sumber primer tersebut harus didukung sumber-sumber mutakhir. Penggunaan sumber primer dalam keseluruhan artikel tidak kurang dari dua puluh sumber primer.</w:t>
      </w:r>
    </w:p>
    <w:p w:rsidR="00000000" w:rsidDel="00000000" w:rsidP="00000000" w:rsidRDefault="00000000" w:rsidRPr="00000000" w14:paraId="00000018">
      <w:pPr>
        <w:pageBreakBefore w:val="0"/>
        <w:ind w:firstLine="720"/>
        <w:jc w:val="both"/>
        <w:rPr>
          <w:sz w:val="24"/>
          <w:szCs w:val="24"/>
        </w:rPr>
      </w:pPr>
      <w:r w:rsidDel="00000000" w:rsidR="00000000" w:rsidRPr="00000000">
        <w:rPr>
          <w:sz w:val="24"/>
          <w:szCs w:val="24"/>
          <w:rtl w:val="0"/>
        </w:rPr>
        <w:t xml:space="preserve">Bila diperlukan memakai tabel atau gambar, maka tabel dapat disajikan sebagai berikut: </w:t>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Tabel 1. </w:t>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Tuliskan judul tabel/ gambar,  posisikan judul di tengah halaman</w:t>
      </w:r>
    </w:p>
    <w:p w:rsidR="00000000" w:rsidDel="00000000" w:rsidP="00000000" w:rsidRDefault="00000000" w:rsidRPr="00000000" w14:paraId="0000001C">
      <w:pPr>
        <w:pageBreakBefore w:val="0"/>
        <w:rPr>
          <w:sz w:val="24"/>
          <w:szCs w:val="24"/>
        </w:rPr>
      </w:pPr>
      <w:r w:rsidDel="00000000" w:rsidR="00000000" w:rsidRPr="00000000">
        <w:rPr>
          <w:rtl w:val="0"/>
        </w:rPr>
      </w:r>
    </w:p>
    <w:tbl>
      <w:tblPr>
        <w:tblStyle w:val="Table1"/>
        <w:tblW w:w="9016.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271"/>
        <w:gridCol w:w="4739"/>
        <w:gridCol w:w="3006"/>
        <w:tblGridChange w:id="0">
          <w:tblGrid>
            <w:gridCol w:w="1271"/>
            <w:gridCol w:w="4739"/>
            <w:gridCol w:w="3006"/>
          </w:tblGrid>
        </w:tblGridChange>
      </w:tblGrid>
      <w:tr>
        <w:trPr>
          <w:cantSplit w:val="0"/>
          <w:tblHeader w:val="0"/>
        </w:trPr>
        <w:tc>
          <w:tcPr/>
          <w:p w:rsidR="00000000" w:rsidDel="00000000" w:rsidP="00000000" w:rsidRDefault="00000000" w:rsidRPr="00000000" w14:paraId="0000001D">
            <w:pPr>
              <w:pageBreakBefore w:val="0"/>
              <w:rPr>
                <w:b w:val="0"/>
                <w:sz w:val="24"/>
                <w:szCs w:val="24"/>
              </w:rPr>
            </w:pPr>
            <w:r w:rsidDel="00000000" w:rsidR="00000000" w:rsidRPr="00000000">
              <w:rPr>
                <w:sz w:val="24"/>
                <w:szCs w:val="24"/>
                <w:rtl w:val="0"/>
              </w:rPr>
              <w:t xml:space="preserve">No</w:t>
            </w:r>
            <w:r w:rsidDel="00000000" w:rsidR="00000000" w:rsidRPr="00000000">
              <w:rPr>
                <w:rtl w:val="0"/>
              </w:rPr>
            </w:r>
          </w:p>
        </w:tc>
        <w:tc>
          <w:tcPr/>
          <w:p w:rsidR="00000000" w:rsidDel="00000000" w:rsidP="00000000" w:rsidRDefault="00000000" w:rsidRPr="00000000" w14:paraId="0000001E">
            <w:pPr>
              <w:pageBreakBefore w:val="0"/>
              <w:rPr>
                <w:b w:val="0"/>
                <w:sz w:val="24"/>
                <w:szCs w:val="24"/>
              </w:rPr>
            </w:pPr>
            <w:r w:rsidDel="00000000" w:rsidR="00000000" w:rsidRPr="00000000">
              <w:rPr>
                <w:sz w:val="24"/>
                <w:szCs w:val="24"/>
                <w:rtl w:val="0"/>
              </w:rPr>
              <w:t xml:space="preserve">Nama Surat</w:t>
            </w:r>
            <w:r w:rsidDel="00000000" w:rsidR="00000000" w:rsidRPr="00000000">
              <w:rPr>
                <w:rtl w:val="0"/>
              </w:rPr>
            </w:r>
          </w:p>
        </w:tc>
        <w:tc>
          <w:tcPr/>
          <w:p w:rsidR="00000000" w:rsidDel="00000000" w:rsidP="00000000" w:rsidRDefault="00000000" w:rsidRPr="00000000" w14:paraId="0000001F">
            <w:pPr>
              <w:pageBreakBefore w:val="0"/>
              <w:rPr>
                <w:b w:val="0"/>
                <w:sz w:val="24"/>
                <w:szCs w:val="24"/>
              </w:rPr>
            </w:pPr>
            <w:r w:rsidDel="00000000" w:rsidR="00000000" w:rsidRPr="00000000">
              <w:rPr>
                <w:sz w:val="24"/>
                <w:szCs w:val="24"/>
                <w:rtl w:val="0"/>
              </w:rPr>
              <w:t xml:space="preserve">Ayat</w:t>
            </w:r>
            <w:r w:rsidDel="00000000" w:rsidR="00000000" w:rsidRPr="00000000">
              <w:rPr>
                <w:rtl w:val="0"/>
              </w:rPr>
            </w:r>
          </w:p>
        </w:tc>
      </w:tr>
      <w:tr>
        <w:trPr>
          <w:cantSplit w:val="0"/>
          <w:tblHeader w:val="0"/>
        </w:trPr>
        <w:tc>
          <w:tcPr/>
          <w:p w:rsidR="00000000" w:rsidDel="00000000" w:rsidP="00000000" w:rsidRDefault="00000000" w:rsidRPr="00000000" w14:paraId="00000020">
            <w:pPr>
              <w:pageBreakBefore w:val="0"/>
              <w:jc w:val="both"/>
              <w:rPr>
                <w:sz w:val="24"/>
                <w:szCs w:val="24"/>
              </w:rPr>
            </w:pPr>
            <w:r w:rsidDel="00000000" w:rsidR="00000000" w:rsidRPr="00000000">
              <w:rPr>
                <w:rtl w:val="0"/>
              </w:rPr>
            </w:r>
          </w:p>
        </w:tc>
        <w:tc>
          <w:tcPr/>
          <w:p w:rsidR="00000000" w:rsidDel="00000000" w:rsidP="00000000" w:rsidRDefault="00000000" w:rsidRPr="00000000" w14:paraId="00000021">
            <w:pPr>
              <w:pageBreakBefore w:val="0"/>
              <w:jc w:val="both"/>
              <w:rPr>
                <w:sz w:val="24"/>
                <w:szCs w:val="24"/>
              </w:rPr>
            </w:pPr>
            <w:r w:rsidDel="00000000" w:rsidR="00000000" w:rsidRPr="00000000">
              <w:rPr>
                <w:rtl w:val="0"/>
              </w:rPr>
            </w:r>
          </w:p>
        </w:tc>
        <w:tc>
          <w:tcPr/>
          <w:p w:rsidR="00000000" w:rsidDel="00000000" w:rsidP="00000000" w:rsidRDefault="00000000" w:rsidRPr="00000000" w14:paraId="00000022">
            <w:pPr>
              <w:pageBreakBefore w:val="0"/>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jc w:val="both"/>
              <w:rPr>
                <w:sz w:val="24"/>
                <w:szCs w:val="24"/>
              </w:rPr>
            </w:pPr>
            <w:r w:rsidDel="00000000" w:rsidR="00000000" w:rsidRPr="00000000">
              <w:rPr>
                <w:rtl w:val="0"/>
              </w:rPr>
            </w:r>
          </w:p>
        </w:tc>
        <w:tc>
          <w:tcPr/>
          <w:p w:rsidR="00000000" w:rsidDel="00000000" w:rsidP="00000000" w:rsidRDefault="00000000" w:rsidRPr="00000000" w14:paraId="00000024">
            <w:pPr>
              <w:pageBreakBefore w:val="0"/>
              <w:jc w:val="both"/>
              <w:rPr>
                <w:sz w:val="24"/>
                <w:szCs w:val="24"/>
              </w:rPr>
            </w:pPr>
            <w:r w:rsidDel="00000000" w:rsidR="00000000" w:rsidRPr="00000000">
              <w:rPr>
                <w:rtl w:val="0"/>
              </w:rPr>
            </w:r>
          </w:p>
        </w:tc>
        <w:tc>
          <w:tcPr/>
          <w:p w:rsidR="00000000" w:rsidDel="00000000" w:rsidP="00000000" w:rsidRDefault="00000000" w:rsidRPr="00000000" w14:paraId="00000025">
            <w:pPr>
              <w:pageBreakBefore w:val="0"/>
              <w:jc w:val="both"/>
              <w:rPr>
                <w:sz w:val="24"/>
                <w:szCs w:val="24"/>
              </w:rPr>
            </w:pPr>
            <w:r w:rsidDel="00000000" w:rsidR="00000000" w:rsidRPr="00000000">
              <w:rPr>
                <w:rtl w:val="0"/>
              </w:rPr>
            </w:r>
          </w:p>
        </w:tc>
      </w:tr>
    </w:tbl>
    <w:p w:rsidR="00000000" w:rsidDel="00000000" w:rsidP="00000000" w:rsidRDefault="00000000" w:rsidRPr="00000000" w14:paraId="00000026">
      <w:pPr>
        <w:pageBreakBefore w:val="0"/>
        <w:jc w:val="both"/>
        <w:rPr/>
      </w:pPr>
      <w:r w:rsidDel="00000000" w:rsidR="00000000" w:rsidRPr="00000000">
        <w:rPr>
          <w:rtl w:val="0"/>
        </w:rPr>
        <w:t xml:space="preserve">Tuliskan sumber data (Time New Roman, 10)</w:t>
      </w:r>
    </w:p>
    <w:p w:rsidR="00000000" w:rsidDel="00000000" w:rsidP="00000000" w:rsidRDefault="00000000" w:rsidRPr="00000000" w14:paraId="00000027">
      <w:pPr>
        <w:pageBreakBefore w:val="0"/>
        <w:jc w:val="both"/>
        <w:rPr>
          <w:sz w:val="24"/>
          <w:szCs w:val="24"/>
        </w:rPr>
      </w:pPr>
      <w:r w:rsidDel="00000000" w:rsidR="00000000" w:rsidRPr="00000000">
        <w:rPr>
          <w:rtl w:val="0"/>
        </w:rPr>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Gambar 1. </w:t>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Tuliskan judul tabel/ gambar,  posisikan judul di tengah halaman</w:t>
      </w:r>
    </w:p>
    <w:p w:rsidR="00000000" w:rsidDel="00000000" w:rsidP="00000000" w:rsidRDefault="00000000" w:rsidRPr="00000000" w14:paraId="0000002A">
      <w:pPr>
        <w:pageBreakBefore w:val="0"/>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847090</wp:posOffset>
            </wp:positionH>
            <wp:positionV relativeFrom="paragraph">
              <wp:posOffset>260350</wp:posOffset>
            </wp:positionV>
            <wp:extent cx="4067175" cy="2080895"/>
            <wp:wrapTopAndBottom distB="0" distT="0"/>
            <wp:docPr id="2" name=""/>
            <a:graphic>
              <a:graphicData uri="http://schemas.openxmlformats.org/drawingml/2006/chart">
                <c:chart r:id="rId7"/>
              </a:graphicData>
            </a:graphic>
          </wp:anchor>
        </w:drawing>
      </w:r>
    </w:p>
    <w:p w:rsidR="00000000" w:rsidDel="00000000" w:rsidP="00000000" w:rsidRDefault="00000000" w:rsidRPr="00000000" w14:paraId="0000002B">
      <w:pPr>
        <w:pageBreakBefore w:val="0"/>
        <w:jc w:val="both"/>
        <w:rPr>
          <w:sz w:val="24"/>
          <w:szCs w:val="24"/>
        </w:rPr>
      </w:pPr>
      <w:r w:rsidDel="00000000" w:rsidR="00000000" w:rsidRPr="00000000">
        <w:rPr>
          <w:rtl w:val="0"/>
        </w:rPr>
      </w:r>
    </w:p>
    <w:p w:rsidR="00000000" w:rsidDel="00000000" w:rsidP="00000000" w:rsidRDefault="00000000" w:rsidRPr="00000000" w14:paraId="0000002C">
      <w:pPr>
        <w:pageBreakBefore w:val="0"/>
        <w:jc w:val="both"/>
        <w:rPr>
          <w:sz w:val="24"/>
          <w:szCs w:val="24"/>
        </w:rPr>
      </w:pPr>
      <w:r w:rsidDel="00000000" w:rsidR="00000000" w:rsidRPr="00000000">
        <w:rPr>
          <w:rtl w:val="0"/>
        </w:rPr>
      </w:r>
    </w:p>
    <w:p w:rsidR="00000000" w:rsidDel="00000000" w:rsidP="00000000" w:rsidRDefault="00000000" w:rsidRPr="00000000" w14:paraId="0000002D">
      <w:pPr>
        <w:pageBreakBefore w:val="0"/>
        <w:jc w:val="both"/>
        <w:rPr>
          <w:b w:val="1"/>
          <w:sz w:val="24"/>
          <w:szCs w:val="24"/>
        </w:rPr>
      </w:pPr>
      <w:r w:rsidDel="00000000" w:rsidR="00000000" w:rsidRPr="00000000">
        <w:rPr>
          <w:b w:val="1"/>
          <w:sz w:val="24"/>
          <w:szCs w:val="24"/>
          <w:rtl w:val="0"/>
        </w:rPr>
        <w:t xml:space="preserve">Sub Pembahasan (Time New Roman 12, Bold)</w:t>
      </w:r>
    </w:p>
    <w:p w:rsidR="00000000" w:rsidDel="00000000" w:rsidP="00000000" w:rsidRDefault="00000000" w:rsidRPr="00000000" w14:paraId="0000002E">
      <w:pPr>
        <w:pageBreakBefore w:val="0"/>
        <w:ind w:firstLine="709"/>
        <w:jc w:val="both"/>
        <w:rPr>
          <w:sz w:val="24"/>
          <w:szCs w:val="24"/>
        </w:rPr>
      </w:pPr>
      <w:r w:rsidDel="00000000" w:rsidR="00000000" w:rsidRPr="00000000">
        <w:rPr>
          <w:sz w:val="24"/>
          <w:szCs w:val="24"/>
          <w:rtl w:val="0"/>
        </w:rPr>
        <w:t xml:space="preserve">Pembahasan mungkin berisi hasil temuan penelitian lainnya yang disertai dengan  pembahasannya. Temuan-temuan yang dituliskan di sini tetap harus didukung dengan data-data yang memadai. Temuan-temuan diarahkan untuk menjawab pertanyaan atau hipotesis yang telah dikemukakan.</w:t>
      </w:r>
    </w:p>
    <w:p w:rsidR="00000000" w:rsidDel="00000000" w:rsidP="00000000" w:rsidRDefault="00000000" w:rsidRPr="00000000" w14:paraId="0000002F">
      <w:pPr>
        <w:pageBreakBefore w:val="0"/>
        <w:ind w:firstLine="709"/>
        <w:jc w:val="both"/>
        <w:rPr>
          <w:sz w:val="24"/>
          <w:szCs w:val="24"/>
        </w:rPr>
      </w:pPr>
      <w:r w:rsidDel="00000000" w:rsidR="00000000" w:rsidRPr="00000000">
        <w:rPr>
          <w:sz w:val="24"/>
          <w:szCs w:val="24"/>
          <w:rtl w:val="0"/>
        </w:rPr>
        <w:t xml:space="preserve">Dalam pembahasan, penulis artikel diharuskan untuk menyajikan sumber primer dalam bentuk catatan kaki (</w:t>
      </w:r>
      <w:r w:rsidDel="00000000" w:rsidR="00000000" w:rsidRPr="00000000">
        <w:rPr>
          <w:i w:val="1"/>
          <w:sz w:val="24"/>
          <w:szCs w:val="24"/>
          <w:rtl w:val="0"/>
        </w:rPr>
        <w:t xml:space="preserve">footnote</w:t>
      </w:r>
      <w:r w:rsidDel="00000000" w:rsidR="00000000" w:rsidRPr="00000000">
        <w:rPr>
          <w:sz w:val="24"/>
          <w:szCs w:val="24"/>
          <w:rtl w:val="0"/>
        </w:rPr>
        <w:t xml:space="preserve">) dan juga daftar kepustakaan (</w:t>
      </w:r>
      <w:r w:rsidDel="00000000" w:rsidR="00000000" w:rsidRPr="00000000">
        <w:rPr>
          <w:i w:val="1"/>
          <w:sz w:val="24"/>
          <w:szCs w:val="24"/>
          <w:rtl w:val="0"/>
        </w:rPr>
        <w:t xml:space="preserve">bibliography</w:t>
      </w:r>
      <w:r w:rsidDel="00000000" w:rsidR="00000000" w:rsidRPr="00000000">
        <w:rPr>
          <w:sz w:val="24"/>
          <w:szCs w:val="24"/>
          <w:rtl w:val="0"/>
        </w:rPr>
        <w:t xml:space="preserve">) menggunakan Chicago Style (</w:t>
      </w:r>
      <w:hyperlink r:id="rId8">
        <w:r w:rsidDel="00000000" w:rsidR="00000000" w:rsidRPr="00000000">
          <w:rPr>
            <w:color w:val="0000ff"/>
            <w:u w:val="single"/>
            <w:rtl w:val="0"/>
          </w:rPr>
          <w:t xml:space="preserve">https://www.chicagomanualofstyle.org/tools_citationguide/citation-guide-1.html</w:t>
        </w:r>
      </w:hyperlink>
      <w:r w:rsidDel="00000000" w:rsidR="00000000" w:rsidRPr="00000000">
        <w:rPr>
          <w:sz w:val="24"/>
          <w:szCs w:val="24"/>
          <w:rtl w:val="0"/>
        </w:rPr>
        <w:t xml:space="preserve">).  Dalam hal catatan kaki ditulis berulang, maka catatan kaki ditulis secara singkat. Gunakan aplikasi referensi Mendeley, Zotero, dll dalam penulisan catatan kaki. Contoh penulisan catatan kaki sebagai berikut: </w:t>
      </w:r>
    </w:p>
    <w:p w:rsidR="00000000" w:rsidDel="00000000" w:rsidP="00000000" w:rsidRDefault="00000000" w:rsidRPr="00000000" w14:paraId="00000030">
      <w:pPr>
        <w:pageBreakBefore w:val="0"/>
        <w:ind w:firstLine="709"/>
        <w:jc w:val="both"/>
        <w:rPr>
          <w:color w:val="000000"/>
          <w:sz w:val="24"/>
          <w:szCs w:val="24"/>
        </w:rPr>
      </w:pPr>
      <w:r w:rsidDel="00000000" w:rsidR="00000000" w:rsidRPr="00000000">
        <w:rPr>
          <w:rtl w:val="0"/>
        </w:rPr>
      </w:r>
    </w:p>
    <w:p w:rsidR="00000000" w:rsidDel="00000000" w:rsidP="00000000" w:rsidRDefault="00000000" w:rsidRPr="00000000" w14:paraId="00000031">
      <w:pPr>
        <w:pageBreakBefore w:val="0"/>
        <w:jc w:val="both"/>
        <w:rPr>
          <w:b w:val="1"/>
          <w:color w:val="000000"/>
          <w:sz w:val="24"/>
          <w:szCs w:val="24"/>
        </w:rPr>
      </w:pPr>
      <w:r w:rsidDel="00000000" w:rsidR="00000000" w:rsidRPr="00000000">
        <w:rPr>
          <w:b w:val="1"/>
          <w:color w:val="000000"/>
          <w:sz w:val="24"/>
          <w:szCs w:val="24"/>
          <w:rtl w:val="0"/>
        </w:rPr>
        <w:t xml:space="preserve">Buku</w:t>
      </w:r>
    </w:p>
    <w:p w:rsidR="00000000" w:rsidDel="00000000" w:rsidP="00000000" w:rsidRDefault="00000000" w:rsidRPr="00000000" w14:paraId="00000032">
      <w:pPr>
        <w:pageBreakBefore w:val="0"/>
        <w:jc w:val="both"/>
        <w:rPr>
          <w:b w:val="1"/>
          <w:i w:val="1"/>
          <w:color w:val="000000"/>
          <w:sz w:val="24"/>
          <w:szCs w:val="24"/>
        </w:rPr>
      </w:pPr>
      <w:r w:rsidDel="00000000" w:rsidR="00000000" w:rsidRPr="00000000">
        <w:rPr>
          <w:b w:val="1"/>
          <w:i w:val="1"/>
          <w:color w:val="000000"/>
          <w:sz w:val="24"/>
          <w:szCs w:val="24"/>
          <w:rtl w:val="0"/>
        </w:rPr>
        <w:t xml:space="preserve">Catatan kaki</w:t>
      </w:r>
    </w:p>
    <w:p w:rsidR="00000000" w:rsidDel="00000000" w:rsidP="00000000" w:rsidRDefault="00000000" w:rsidRPr="00000000" w14:paraId="00000033">
      <w:pPr>
        <w:pageBreakBefore w:val="0"/>
        <w:ind w:firstLine="720"/>
        <w:jc w:val="both"/>
        <w:rPr>
          <w:sz w:val="24"/>
          <w:szCs w:val="24"/>
        </w:rPr>
      </w:pPr>
      <w:bookmarkStart w:colFirst="0" w:colLast="0" w:name="_heading=h.gjdgxs" w:id="0"/>
      <w:bookmarkEnd w:id="0"/>
      <w:r w:rsidDel="00000000" w:rsidR="00000000" w:rsidRPr="00000000">
        <w:rPr>
          <w:sz w:val="24"/>
          <w:szCs w:val="24"/>
          <w:rtl w:val="0"/>
        </w:rPr>
        <w:t xml:space="preserve">Muhammad ibn Luthfi al-Shabbagh, </w:t>
      </w:r>
      <w:r w:rsidDel="00000000" w:rsidR="00000000" w:rsidRPr="00000000">
        <w:rPr>
          <w:i w:val="1"/>
          <w:sz w:val="24"/>
          <w:szCs w:val="24"/>
          <w:rtl w:val="0"/>
        </w:rPr>
        <w:t xml:space="preserve">Lahmat fi Ulum al-Qur’an wa Ittijahat al-Tafsir,</w:t>
      </w:r>
      <w:r w:rsidDel="00000000" w:rsidR="00000000" w:rsidRPr="00000000">
        <w:rPr>
          <w:sz w:val="24"/>
          <w:szCs w:val="24"/>
          <w:rtl w:val="0"/>
        </w:rPr>
        <w:t xml:space="preserve"> (Beirut: al-Maktabah al-Islami: 1990), 187.</w:t>
      </w:r>
    </w:p>
    <w:p w:rsidR="00000000" w:rsidDel="00000000" w:rsidP="00000000" w:rsidRDefault="00000000" w:rsidRPr="00000000" w14:paraId="00000034">
      <w:pPr>
        <w:pageBreakBefore w:val="0"/>
        <w:ind w:firstLine="720"/>
        <w:rPr/>
      </w:pPr>
      <w:r w:rsidDel="00000000" w:rsidR="00000000" w:rsidRPr="00000000">
        <w:rPr>
          <w:vertAlign w:val="superscript"/>
          <w:rtl w:val="0"/>
        </w:rPr>
        <w:t xml:space="preserve">1</w:t>
      </w:r>
      <w:r w:rsidDel="00000000" w:rsidR="00000000" w:rsidRPr="00000000">
        <w:rPr>
          <w:rtl w:val="0"/>
        </w:rPr>
        <w:t xml:space="preserve">Brian Grazer and Charles Fishman, </w:t>
      </w:r>
      <w:r w:rsidDel="00000000" w:rsidR="00000000" w:rsidRPr="00000000">
        <w:rPr>
          <w:i w:val="1"/>
          <w:rtl w:val="0"/>
        </w:rPr>
        <w:t xml:space="preserve">A Curious Mind: The Secret to a Bigger Life</w:t>
      </w:r>
      <w:r w:rsidDel="00000000" w:rsidR="00000000" w:rsidRPr="00000000">
        <w:rPr>
          <w:rtl w:val="0"/>
        </w:rPr>
        <w:t xml:space="preserve"> (New York: Simon &amp; Schuster, 2015), 12.</w:t>
      </w:r>
    </w:p>
    <w:p w:rsidR="00000000" w:rsidDel="00000000" w:rsidP="00000000" w:rsidRDefault="00000000" w:rsidRPr="00000000" w14:paraId="00000035">
      <w:pPr>
        <w:pageBreakBefore w:val="0"/>
        <w:ind w:left="851" w:hanging="130.99999999999994"/>
        <w:jc w:val="both"/>
        <w:rPr>
          <w:sz w:val="24"/>
          <w:szCs w:val="24"/>
          <w:highlight w:val="white"/>
        </w:rPr>
      </w:pPr>
      <w:r w:rsidDel="00000000" w:rsidR="00000000" w:rsidRPr="00000000">
        <w:rPr>
          <w:sz w:val="24"/>
          <w:szCs w:val="24"/>
          <w:highlight w:val="white"/>
          <w:vertAlign w:val="superscript"/>
          <w:rtl w:val="0"/>
        </w:rPr>
        <w:t xml:space="preserve">1</w:t>
      </w:r>
      <w:r w:rsidDel="00000000" w:rsidR="00000000" w:rsidRPr="00000000">
        <w:rPr>
          <w:sz w:val="24"/>
          <w:szCs w:val="24"/>
          <w:highlight w:val="white"/>
          <w:rtl w:val="0"/>
        </w:rPr>
        <w:t xml:space="preserve">Maizuddin, dkk, </w:t>
      </w:r>
      <w:r w:rsidDel="00000000" w:rsidR="00000000" w:rsidRPr="00000000">
        <w:rPr>
          <w:i w:val="1"/>
          <w:sz w:val="24"/>
          <w:szCs w:val="24"/>
          <w:highlight w:val="white"/>
          <w:rtl w:val="0"/>
        </w:rPr>
        <w:t xml:space="preserve">Tafsir Ayat Aqidah, </w:t>
      </w:r>
      <w:r w:rsidDel="00000000" w:rsidR="00000000" w:rsidRPr="00000000">
        <w:rPr>
          <w:sz w:val="24"/>
          <w:szCs w:val="24"/>
          <w:highlight w:val="white"/>
          <w:rtl w:val="0"/>
        </w:rPr>
        <w:t xml:space="preserve">(Banda Aceh: Searfiqh, 2016), 200 </w:t>
      </w:r>
    </w:p>
    <w:p w:rsidR="00000000" w:rsidDel="00000000" w:rsidP="00000000" w:rsidRDefault="00000000" w:rsidRPr="00000000" w14:paraId="00000036">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Singkatan catatan kaki</w:t>
      </w:r>
    </w:p>
    <w:p w:rsidR="00000000" w:rsidDel="00000000" w:rsidP="00000000" w:rsidRDefault="00000000" w:rsidRPr="00000000" w14:paraId="00000037">
      <w:pPr>
        <w:pageBreakBefore w:val="0"/>
        <w:ind w:firstLine="720"/>
        <w:jc w:val="both"/>
        <w:rPr>
          <w:sz w:val="24"/>
          <w:szCs w:val="24"/>
        </w:rPr>
      </w:pPr>
      <w:r w:rsidDel="00000000" w:rsidR="00000000" w:rsidRPr="00000000">
        <w:rPr>
          <w:sz w:val="24"/>
          <w:szCs w:val="24"/>
          <w:rtl w:val="0"/>
        </w:rPr>
        <w:t xml:space="preserve">Al-Shabbagh, </w:t>
      </w:r>
      <w:r w:rsidDel="00000000" w:rsidR="00000000" w:rsidRPr="00000000">
        <w:rPr>
          <w:i w:val="1"/>
          <w:sz w:val="24"/>
          <w:szCs w:val="24"/>
          <w:rtl w:val="0"/>
        </w:rPr>
        <w:t xml:space="preserve">Lahmat fi Ulum al-Qur’an, </w:t>
      </w:r>
      <w:r w:rsidDel="00000000" w:rsidR="00000000" w:rsidRPr="00000000">
        <w:rPr>
          <w:sz w:val="24"/>
          <w:szCs w:val="24"/>
          <w:rtl w:val="0"/>
        </w:rPr>
        <w:t xml:space="preserve"> 189.</w:t>
      </w:r>
    </w:p>
    <w:p w:rsidR="00000000" w:rsidDel="00000000" w:rsidP="00000000" w:rsidRDefault="00000000" w:rsidRPr="00000000" w14:paraId="00000038">
      <w:pPr>
        <w:pageBreakBefore w:val="0"/>
        <w:ind w:firstLine="720"/>
        <w:jc w:val="both"/>
        <w:rPr/>
      </w:pPr>
      <w:r w:rsidDel="00000000" w:rsidR="00000000" w:rsidRPr="00000000">
        <w:rPr>
          <w:sz w:val="24"/>
          <w:szCs w:val="24"/>
          <w:vertAlign w:val="superscript"/>
          <w:rtl w:val="0"/>
        </w:rPr>
        <w:t xml:space="preserve">1</w:t>
      </w:r>
      <w:r w:rsidDel="00000000" w:rsidR="00000000" w:rsidRPr="00000000">
        <w:rPr>
          <w:rtl w:val="0"/>
        </w:rPr>
        <w:t xml:space="preserve">Grazer and Fishman, </w:t>
      </w:r>
      <w:r w:rsidDel="00000000" w:rsidR="00000000" w:rsidRPr="00000000">
        <w:rPr>
          <w:i w:val="1"/>
          <w:rtl w:val="0"/>
        </w:rPr>
        <w:t xml:space="preserve">A Curious Mind, </w:t>
      </w:r>
      <w:r w:rsidDel="00000000" w:rsidR="00000000" w:rsidRPr="00000000">
        <w:rPr>
          <w:rtl w:val="0"/>
        </w:rPr>
        <w:t xml:space="preserve">12.</w:t>
      </w:r>
    </w:p>
    <w:p w:rsidR="00000000" w:rsidDel="00000000" w:rsidP="00000000" w:rsidRDefault="00000000" w:rsidRPr="00000000" w14:paraId="00000039">
      <w:pPr>
        <w:pageBreakBefore w:val="0"/>
        <w:ind w:firstLine="720"/>
        <w:jc w:val="both"/>
        <w:rPr>
          <w:sz w:val="24"/>
          <w:szCs w:val="24"/>
        </w:rPr>
      </w:pPr>
      <w:r w:rsidDel="00000000" w:rsidR="00000000" w:rsidRPr="00000000">
        <w:rPr>
          <w:sz w:val="24"/>
          <w:szCs w:val="24"/>
          <w:highlight w:val="white"/>
          <w:vertAlign w:val="superscript"/>
          <w:rtl w:val="0"/>
        </w:rPr>
        <w:t xml:space="preserve">1</w:t>
      </w:r>
      <w:r w:rsidDel="00000000" w:rsidR="00000000" w:rsidRPr="00000000">
        <w:rPr>
          <w:sz w:val="24"/>
          <w:szCs w:val="24"/>
          <w:highlight w:val="white"/>
          <w:rtl w:val="0"/>
        </w:rPr>
        <w:t xml:space="preserve">Maizuddin, dkk, </w:t>
      </w:r>
      <w:r w:rsidDel="00000000" w:rsidR="00000000" w:rsidRPr="00000000">
        <w:rPr>
          <w:i w:val="1"/>
          <w:sz w:val="24"/>
          <w:szCs w:val="24"/>
          <w:highlight w:val="white"/>
          <w:rtl w:val="0"/>
        </w:rPr>
        <w:t xml:space="preserve">Tafsir Ayat Aqidah,</w:t>
      </w:r>
      <w:r w:rsidDel="00000000" w:rsidR="00000000" w:rsidRPr="00000000">
        <w:rPr>
          <w:sz w:val="24"/>
          <w:szCs w:val="24"/>
          <w:highlight w:val="white"/>
          <w:rtl w:val="0"/>
        </w:rPr>
        <w:t xml:space="preserve"> 210</w:t>
      </w:r>
      <w:r w:rsidDel="00000000" w:rsidR="00000000" w:rsidRPr="00000000">
        <w:rPr>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3A">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3B">
      <w:pPr>
        <w:pageBreakBefore w:val="0"/>
        <w:ind w:left="851" w:hanging="851"/>
        <w:jc w:val="both"/>
        <w:rPr>
          <w:sz w:val="24"/>
          <w:szCs w:val="24"/>
        </w:rPr>
      </w:pPr>
      <w:r w:rsidDel="00000000" w:rsidR="00000000" w:rsidRPr="00000000">
        <w:rPr>
          <w:sz w:val="24"/>
          <w:szCs w:val="24"/>
          <w:rtl w:val="0"/>
        </w:rPr>
        <w:t xml:space="preserve">Al-Shabbagh, Muhammad ibn Luthfi</w:t>
      </w:r>
      <w:r w:rsidDel="00000000" w:rsidR="00000000" w:rsidRPr="00000000">
        <w:rPr>
          <w:i w:val="1"/>
          <w:sz w:val="24"/>
          <w:szCs w:val="24"/>
          <w:rtl w:val="0"/>
        </w:rPr>
        <w:t xml:space="preserve"> , Lahmat fi Ulum al-Qur’an wa Ittijahat al-Tafsir</w:t>
      </w:r>
      <w:r w:rsidDel="00000000" w:rsidR="00000000" w:rsidRPr="00000000">
        <w:rPr>
          <w:sz w:val="24"/>
          <w:szCs w:val="24"/>
          <w:rtl w:val="0"/>
        </w:rPr>
        <w:t xml:space="preserve">, Beirut: al-Maktabah al-Islami: 1990.</w:t>
      </w:r>
    </w:p>
    <w:p w:rsidR="00000000" w:rsidDel="00000000" w:rsidP="00000000" w:rsidRDefault="00000000" w:rsidRPr="00000000" w14:paraId="0000003C">
      <w:pPr>
        <w:pageBreakBefore w:val="0"/>
        <w:ind w:left="851" w:hanging="851"/>
        <w:jc w:val="both"/>
        <w:rPr>
          <w:sz w:val="24"/>
          <w:szCs w:val="24"/>
          <w:highlight w:val="white"/>
        </w:rPr>
      </w:pPr>
      <w:r w:rsidDel="00000000" w:rsidR="00000000" w:rsidRPr="00000000">
        <w:rPr>
          <w:rFonts w:ascii="Times" w:cs="Times" w:eastAsia="Times" w:hAnsi="Times"/>
          <w:sz w:val="24"/>
          <w:szCs w:val="24"/>
          <w:highlight w:val="white"/>
          <w:rtl w:val="0"/>
        </w:rPr>
        <w:t xml:space="preserve">Grazer, Brian, and Charles Fishman. </w:t>
      </w:r>
      <w:r w:rsidDel="00000000" w:rsidR="00000000" w:rsidRPr="00000000">
        <w:rPr>
          <w:rFonts w:ascii="Times" w:cs="Times" w:eastAsia="Times" w:hAnsi="Times"/>
          <w:i w:val="1"/>
          <w:sz w:val="24"/>
          <w:szCs w:val="24"/>
          <w:highlight w:val="white"/>
          <w:rtl w:val="0"/>
        </w:rPr>
        <w:t xml:space="preserve">A Curious Mind: The Secret to a Bigger Life.</w:t>
      </w:r>
      <w:r w:rsidDel="00000000" w:rsidR="00000000" w:rsidRPr="00000000">
        <w:rPr>
          <w:rFonts w:ascii="Times" w:cs="Times" w:eastAsia="Times" w:hAnsi="Times"/>
          <w:sz w:val="24"/>
          <w:szCs w:val="24"/>
          <w:highlight w:val="white"/>
          <w:rtl w:val="0"/>
        </w:rPr>
        <w:t xml:space="preserve"> New York: Simon &amp; Schuster, 2015.</w:t>
      </w:r>
      <w:r w:rsidDel="00000000" w:rsidR="00000000" w:rsidRPr="00000000">
        <w:rPr>
          <w:rtl w:val="0"/>
        </w:rPr>
      </w:r>
    </w:p>
    <w:p w:rsidR="00000000" w:rsidDel="00000000" w:rsidP="00000000" w:rsidRDefault="00000000" w:rsidRPr="00000000" w14:paraId="0000003D">
      <w:pPr>
        <w:pageBreakBefore w:val="0"/>
        <w:ind w:left="851" w:hanging="851"/>
        <w:jc w:val="both"/>
        <w:rPr>
          <w:sz w:val="24"/>
          <w:szCs w:val="24"/>
          <w:highlight w:val="white"/>
        </w:rPr>
      </w:pPr>
      <w:r w:rsidDel="00000000" w:rsidR="00000000" w:rsidRPr="00000000">
        <w:rPr>
          <w:sz w:val="24"/>
          <w:szCs w:val="24"/>
          <w:highlight w:val="white"/>
          <w:rtl w:val="0"/>
        </w:rPr>
        <w:t xml:space="preserve">Maizuddin, dkk, </w:t>
      </w:r>
      <w:r w:rsidDel="00000000" w:rsidR="00000000" w:rsidRPr="00000000">
        <w:rPr>
          <w:i w:val="1"/>
          <w:sz w:val="24"/>
          <w:szCs w:val="24"/>
          <w:highlight w:val="white"/>
          <w:rtl w:val="0"/>
        </w:rPr>
        <w:t xml:space="preserve">Tafsir Ayat Aqidah, </w:t>
      </w:r>
      <w:r w:rsidDel="00000000" w:rsidR="00000000" w:rsidRPr="00000000">
        <w:rPr>
          <w:sz w:val="24"/>
          <w:szCs w:val="24"/>
          <w:highlight w:val="white"/>
          <w:rtl w:val="0"/>
        </w:rPr>
        <w:t xml:space="preserve">(Banda Aceh: Searfiqh, 2016), 200 </w:t>
      </w:r>
    </w:p>
    <w:p w:rsidR="00000000" w:rsidDel="00000000" w:rsidP="00000000" w:rsidRDefault="00000000" w:rsidRPr="00000000" w14:paraId="0000003E">
      <w:pPr>
        <w:pageBreakBefore w:val="0"/>
        <w:ind w:left="851" w:hanging="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jc w:val="both"/>
        <w:rPr>
          <w:b w:val="1"/>
          <w:color w:val="000000"/>
          <w:sz w:val="24"/>
          <w:szCs w:val="24"/>
        </w:rPr>
      </w:pPr>
      <w:r w:rsidDel="00000000" w:rsidR="00000000" w:rsidRPr="00000000">
        <w:rPr>
          <w:b w:val="1"/>
          <w:color w:val="000000"/>
          <w:sz w:val="24"/>
          <w:szCs w:val="24"/>
          <w:rtl w:val="0"/>
        </w:rPr>
        <w:t xml:space="preserve">Buku Berjilid</w:t>
      </w:r>
    </w:p>
    <w:p w:rsidR="00000000" w:rsidDel="00000000" w:rsidP="00000000" w:rsidRDefault="00000000" w:rsidRPr="00000000" w14:paraId="00000040">
      <w:pPr>
        <w:pageBreakBefore w:val="0"/>
        <w:jc w:val="both"/>
        <w:rPr>
          <w:b w:val="1"/>
          <w:i w:val="1"/>
          <w:color w:val="000000"/>
          <w:sz w:val="24"/>
          <w:szCs w:val="24"/>
        </w:rPr>
      </w:pPr>
      <w:r w:rsidDel="00000000" w:rsidR="00000000" w:rsidRPr="00000000">
        <w:rPr>
          <w:b w:val="1"/>
          <w:i w:val="1"/>
          <w:color w:val="000000"/>
          <w:sz w:val="24"/>
          <w:szCs w:val="24"/>
          <w:rtl w:val="0"/>
        </w:rPr>
        <w:t xml:space="preserve">Catatan kaki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 al-Fida Isma’il ibn Umar Ibn Katsir,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Tafsir Ibn Katsir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 Ṭaiyibah li al-Nasyr wa al-Tauzī’, 1999), V,  297.</w:t>
      </w:r>
    </w:p>
    <w:p w:rsidR="00000000" w:rsidDel="00000000" w:rsidP="00000000" w:rsidRDefault="00000000" w:rsidRPr="00000000" w14:paraId="00000042">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Singkatan catatan kaki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Ibn Katsir,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Tafsir Ibn Katsir,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297.</w:t>
      </w:r>
    </w:p>
    <w:p w:rsidR="00000000" w:rsidDel="00000000" w:rsidP="00000000" w:rsidRDefault="00000000" w:rsidRPr="00000000" w14:paraId="00000044">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45">
      <w:pPr>
        <w:pageBreakBefore w:val="0"/>
        <w:ind w:left="709" w:hanging="709"/>
        <w:jc w:val="both"/>
        <w:rPr>
          <w:color w:val="000000"/>
          <w:sz w:val="24"/>
          <w:szCs w:val="24"/>
        </w:rPr>
      </w:pPr>
      <w:r w:rsidDel="00000000" w:rsidR="00000000" w:rsidRPr="00000000">
        <w:rPr>
          <w:sz w:val="24"/>
          <w:szCs w:val="24"/>
          <w:rtl w:val="0"/>
        </w:rPr>
        <w:t xml:space="preserve">Ibn Katsir, Abu al-Fida Isma’il ibn Umar, </w:t>
      </w:r>
      <w:r w:rsidDel="00000000" w:rsidR="00000000" w:rsidRPr="00000000">
        <w:rPr>
          <w:i w:val="1"/>
          <w:sz w:val="24"/>
          <w:szCs w:val="24"/>
          <w:rtl w:val="0"/>
        </w:rPr>
        <w:t xml:space="preserve">Tafsir Ibn Katsir</w:t>
      </w:r>
      <w:r w:rsidDel="00000000" w:rsidR="00000000" w:rsidRPr="00000000">
        <w:rPr>
          <w:sz w:val="24"/>
          <w:szCs w:val="24"/>
          <w:rtl w:val="0"/>
        </w:rPr>
        <w:t xml:space="preserve">, Dar Ṭaiyibah li al-Nasyr wa al-Tauzī’, 1999), Juz V</w:t>
      </w:r>
      <w:r w:rsidDel="00000000" w:rsidR="00000000" w:rsidRPr="00000000">
        <w:rPr>
          <w:rtl w:val="0"/>
        </w:rPr>
      </w:r>
    </w:p>
    <w:p w:rsidR="00000000" w:rsidDel="00000000" w:rsidP="00000000" w:rsidRDefault="00000000" w:rsidRPr="00000000" w14:paraId="00000046">
      <w:pPr>
        <w:pageBreakBefore w:val="0"/>
        <w:jc w:val="both"/>
        <w:rPr>
          <w:b w:val="1"/>
          <w:color w:val="000000"/>
          <w:sz w:val="24"/>
          <w:szCs w:val="24"/>
        </w:rPr>
      </w:pPr>
      <w:r w:rsidDel="00000000" w:rsidR="00000000" w:rsidRPr="00000000">
        <w:rPr>
          <w:rtl w:val="0"/>
        </w:rPr>
      </w:r>
    </w:p>
    <w:p w:rsidR="00000000" w:rsidDel="00000000" w:rsidP="00000000" w:rsidRDefault="00000000" w:rsidRPr="00000000" w14:paraId="00000047">
      <w:pPr>
        <w:pageBreakBefore w:val="0"/>
        <w:jc w:val="both"/>
        <w:rPr>
          <w:b w:val="1"/>
          <w:color w:val="000000"/>
          <w:sz w:val="24"/>
          <w:szCs w:val="24"/>
        </w:rPr>
      </w:pPr>
      <w:r w:rsidDel="00000000" w:rsidR="00000000" w:rsidRPr="00000000">
        <w:rPr>
          <w:b w:val="1"/>
          <w:color w:val="000000"/>
          <w:sz w:val="24"/>
          <w:szCs w:val="24"/>
          <w:rtl w:val="0"/>
        </w:rPr>
        <w:t xml:space="preserve">Buku Terjemahan</w:t>
      </w:r>
    </w:p>
    <w:p w:rsidR="00000000" w:rsidDel="00000000" w:rsidP="00000000" w:rsidRDefault="00000000" w:rsidRPr="00000000" w14:paraId="00000048">
      <w:pPr>
        <w:pageBreakBefore w:val="0"/>
        <w:jc w:val="both"/>
        <w:rPr>
          <w:b w:val="1"/>
          <w:i w:val="1"/>
          <w:color w:val="000000"/>
          <w:sz w:val="24"/>
          <w:szCs w:val="24"/>
        </w:rPr>
      </w:pPr>
      <w:r w:rsidDel="00000000" w:rsidR="00000000" w:rsidRPr="00000000">
        <w:rPr>
          <w:b w:val="1"/>
          <w:i w:val="1"/>
          <w:color w:val="000000"/>
          <w:sz w:val="24"/>
          <w:szCs w:val="24"/>
          <w:rtl w:val="0"/>
        </w:rPr>
        <w:t xml:space="preserve">Catatan kaki</w:t>
      </w:r>
    </w:p>
    <w:p w:rsidR="00000000" w:rsidDel="00000000" w:rsidP="00000000" w:rsidRDefault="00000000" w:rsidRPr="00000000" w14:paraId="00000049">
      <w:pPr>
        <w:pageBreakBefore w:val="0"/>
        <w:ind w:firstLine="720"/>
        <w:jc w:val="both"/>
        <w:rPr>
          <w:color w:val="000000"/>
          <w:sz w:val="24"/>
          <w:szCs w:val="24"/>
        </w:rPr>
      </w:pPr>
      <w:r w:rsidDel="00000000" w:rsidR="00000000" w:rsidRPr="00000000">
        <w:rPr>
          <w:color w:val="000000"/>
          <w:sz w:val="24"/>
          <w:szCs w:val="24"/>
          <w:rtl w:val="0"/>
        </w:rPr>
        <w:t xml:space="preserve">Richard E. Palmer, </w:t>
      </w:r>
      <w:r w:rsidDel="00000000" w:rsidR="00000000" w:rsidRPr="00000000">
        <w:rPr>
          <w:i w:val="1"/>
          <w:color w:val="000000"/>
          <w:sz w:val="24"/>
          <w:szCs w:val="24"/>
          <w:rtl w:val="0"/>
        </w:rPr>
        <w:t xml:space="preserve">Hermeneutika: Teori Baru Mengenai Interpretas</w:t>
      </w:r>
      <w:r w:rsidDel="00000000" w:rsidR="00000000" w:rsidRPr="00000000">
        <w:rPr>
          <w:color w:val="000000"/>
          <w:sz w:val="24"/>
          <w:szCs w:val="24"/>
          <w:rtl w:val="0"/>
        </w:rPr>
        <w:t xml:space="preserve">i, terj. Mansur Hery dan Damanhury Mohammed (Yogyakarta: Pustaka Pelajar, 2005), 30</w:t>
      </w:r>
    </w:p>
    <w:p w:rsidR="00000000" w:rsidDel="00000000" w:rsidP="00000000" w:rsidRDefault="00000000" w:rsidRPr="00000000" w14:paraId="0000004A">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Singkatan catatan kaki</w:t>
      </w:r>
    </w:p>
    <w:p w:rsidR="00000000" w:rsidDel="00000000" w:rsidP="00000000" w:rsidRDefault="00000000" w:rsidRPr="00000000" w14:paraId="0000004B">
      <w:pPr>
        <w:pageBreakBefore w:val="0"/>
        <w:ind w:firstLine="720"/>
        <w:jc w:val="both"/>
        <w:rPr>
          <w:color w:val="000000"/>
          <w:sz w:val="24"/>
          <w:szCs w:val="24"/>
        </w:rPr>
      </w:pPr>
      <w:r w:rsidDel="00000000" w:rsidR="00000000" w:rsidRPr="00000000">
        <w:rPr>
          <w:color w:val="000000"/>
          <w:sz w:val="24"/>
          <w:szCs w:val="24"/>
          <w:rtl w:val="0"/>
        </w:rPr>
        <w:t xml:space="preserve">E. Palmer, </w:t>
      </w:r>
      <w:r w:rsidDel="00000000" w:rsidR="00000000" w:rsidRPr="00000000">
        <w:rPr>
          <w:i w:val="1"/>
          <w:color w:val="000000"/>
          <w:sz w:val="24"/>
          <w:szCs w:val="24"/>
          <w:rtl w:val="0"/>
        </w:rPr>
        <w:t xml:space="preserve">Hermeneutika, </w:t>
      </w:r>
      <w:r w:rsidDel="00000000" w:rsidR="00000000" w:rsidRPr="00000000">
        <w:rPr>
          <w:color w:val="000000"/>
          <w:sz w:val="24"/>
          <w:szCs w:val="24"/>
          <w:rtl w:val="0"/>
        </w:rPr>
        <w:t xml:space="preserve">30</w:t>
      </w:r>
    </w:p>
    <w:p w:rsidR="00000000" w:rsidDel="00000000" w:rsidP="00000000" w:rsidRDefault="00000000" w:rsidRPr="00000000" w14:paraId="0000004C">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4D">
      <w:pPr>
        <w:pageBreakBefore w:val="0"/>
        <w:ind w:left="851" w:hanging="851"/>
        <w:jc w:val="both"/>
        <w:rPr>
          <w:color w:val="000000"/>
          <w:sz w:val="24"/>
          <w:szCs w:val="24"/>
        </w:rPr>
      </w:pPr>
      <w:r w:rsidDel="00000000" w:rsidR="00000000" w:rsidRPr="00000000">
        <w:rPr>
          <w:color w:val="000000"/>
          <w:sz w:val="24"/>
          <w:szCs w:val="24"/>
          <w:rtl w:val="0"/>
        </w:rPr>
        <w:t xml:space="preserve">E. Palmer, Richard, Hermeneutika: Teori Baru Mengenai Interpretasi, terj. Mansur Hery dan Damanhury Mohammed, Yogyakarta: Pustaka Pelajar, 2005.</w:t>
      </w:r>
    </w:p>
    <w:p w:rsidR="00000000" w:rsidDel="00000000" w:rsidP="00000000" w:rsidRDefault="00000000" w:rsidRPr="00000000" w14:paraId="0000004E">
      <w:pPr>
        <w:pageBreakBefore w:val="0"/>
        <w:jc w:val="both"/>
        <w:rPr>
          <w:color w:val="000000"/>
          <w:sz w:val="24"/>
          <w:szCs w:val="24"/>
        </w:rPr>
      </w:pPr>
      <w:r w:rsidDel="00000000" w:rsidR="00000000" w:rsidRPr="00000000">
        <w:rPr>
          <w:rtl w:val="0"/>
        </w:rPr>
      </w:r>
    </w:p>
    <w:p w:rsidR="00000000" w:rsidDel="00000000" w:rsidP="00000000" w:rsidRDefault="00000000" w:rsidRPr="00000000" w14:paraId="0000004F">
      <w:pPr>
        <w:pageBreakBefore w:val="0"/>
        <w:jc w:val="both"/>
        <w:rPr>
          <w:b w:val="1"/>
          <w:color w:val="000000"/>
          <w:sz w:val="24"/>
          <w:szCs w:val="24"/>
        </w:rPr>
      </w:pPr>
      <w:r w:rsidDel="00000000" w:rsidR="00000000" w:rsidRPr="00000000">
        <w:rPr>
          <w:b w:val="1"/>
          <w:color w:val="000000"/>
          <w:sz w:val="24"/>
          <w:szCs w:val="24"/>
          <w:rtl w:val="0"/>
        </w:rPr>
        <w:t xml:space="preserve">Buku Bunga Rampai</w:t>
      </w:r>
    </w:p>
    <w:p w:rsidR="00000000" w:rsidDel="00000000" w:rsidP="00000000" w:rsidRDefault="00000000" w:rsidRPr="00000000" w14:paraId="00000050">
      <w:pPr>
        <w:pageBreakBefore w:val="0"/>
        <w:jc w:val="both"/>
        <w:rPr>
          <w:b w:val="1"/>
          <w:i w:val="1"/>
          <w:color w:val="000000"/>
          <w:sz w:val="24"/>
          <w:szCs w:val="24"/>
        </w:rPr>
      </w:pPr>
      <w:r w:rsidDel="00000000" w:rsidR="00000000" w:rsidRPr="00000000">
        <w:rPr>
          <w:b w:val="1"/>
          <w:i w:val="1"/>
          <w:color w:val="000000"/>
          <w:sz w:val="24"/>
          <w:szCs w:val="24"/>
          <w:rtl w:val="0"/>
        </w:rPr>
        <w:t xml:space="preserve">Catatan kaki</w:t>
      </w:r>
    </w:p>
    <w:p w:rsidR="00000000" w:rsidDel="00000000" w:rsidP="00000000" w:rsidRDefault="00000000" w:rsidRPr="00000000" w14:paraId="00000051">
      <w:pPr>
        <w:pageBreakBefore w:val="0"/>
        <w:ind w:firstLine="720"/>
        <w:jc w:val="both"/>
        <w:rPr>
          <w:color w:val="000000"/>
          <w:sz w:val="24"/>
          <w:szCs w:val="24"/>
        </w:rPr>
      </w:pPr>
      <w:r w:rsidDel="00000000" w:rsidR="00000000" w:rsidRPr="00000000">
        <w:rPr>
          <w:color w:val="000000"/>
          <w:sz w:val="24"/>
          <w:szCs w:val="24"/>
          <w:rtl w:val="0"/>
        </w:rPr>
        <w:t xml:space="preserve">Kaelan MS, “Kajian Makna Alquran (Suatu Pendekatan Analitika Bahasa)”, dalam Sahiron Syamsuddin (dkk), </w:t>
      </w:r>
      <w:r w:rsidDel="00000000" w:rsidR="00000000" w:rsidRPr="00000000">
        <w:rPr>
          <w:i w:val="1"/>
          <w:color w:val="000000"/>
          <w:sz w:val="24"/>
          <w:szCs w:val="24"/>
          <w:rtl w:val="0"/>
        </w:rPr>
        <w:t xml:space="preserve">Hermeneutika Mazhab Yogya</w:t>
      </w:r>
      <w:r w:rsidDel="00000000" w:rsidR="00000000" w:rsidRPr="00000000">
        <w:rPr>
          <w:color w:val="000000"/>
          <w:sz w:val="24"/>
          <w:szCs w:val="24"/>
          <w:rtl w:val="0"/>
        </w:rPr>
        <w:t xml:space="preserve">, (Yogyakarta: Islamika, 2003), 64. </w:t>
      </w:r>
    </w:p>
    <w:p w:rsidR="00000000" w:rsidDel="00000000" w:rsidP="00000000" w:rsidRDefault="00000000" w:rsidRPr="00000000" w14:paraId="00000052">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53">
      <w:pPr>
        <w:pageBreakBefore w:val="0"/>
        <w:ind w:left="709" w:hanging="709"/>
        <w:jc w:val="both"/>
        <w:rPr>
          <w:color w:val="000000"/>
          <w:sz w:val="24"/>
          <w:szCs w:val="24"/>
        </w:rPr>
      </w:pPr>
      <w:r w:rsidDel="00000000" w:rsidR="00000000" w:rsidRPr="00000000">
        <w:rPr>
          <w:color w:val="000000"/>
          <w:sz w:val="24"/>
          <w:szCs w:val="24"/>
          <w:rtl w:val="0"/>
        </w:rPr>
        <w:t xml:space="preserve">Kaelan MS, “Kajian Makna Alquran (Suatu Pendekatan Analitika Bahasa)”, dalam Sahiron Syamsuddin (dkk), </w:t>
      </w:r>
      <w:r w:rsidDel="00000000" w:rsidR="00000000" w:rsidRPr="00000000">
        <w:rPr>
          <w:i w:val="1"/>
          <w:color w:val="000000"/>
          <w:sz w:val="24"/>
          <w:szCs w:val="24"/>
          <w:rtl w:val="0"/>
        </w:rPr>
        <w:t xml:space="preserve">Hermeneutika Mazhab Yogya</w:t>
      </w:r>
      <w:r w:rsidDel="00000000" w:rsidR="00000000" w:rsidRPr="00000000">
        <w:rPr>
          <w:color w:val="000000"/>
          <w:sz w:val="24"/>
          <w:szCs w:val="24"/>
          <w:rtl w:val="0"/>
        </w:rPr>
        <w:t xml:space="preserve">, (Yogyakarta: Islamika, 2003), 64.</w:t>
      </w:r>
    </w:p>
    <w:p w:rsidR="00000000" w:rsidDel="00000000" w:rsidP="00000000" w:rsidRDefault="00000000" w:rsidRPr="00000000" w14:paraId="00000054">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Singkatan catatan kaki</w:t>
      </w:r>
    </w:p>
    <w:p w:rsidR="00000000" w:rsidDel="00000000" w:rsidP="00000000" w:rsidRDefault="00000000" w:rsidRPr="00000000" w14:paraId="00000055">
      <w:pPr>
        <w:pageBreakBefore w:val="0"/>
        <w:ind w:firstLine="720"/>
        <w:jc w:val="both"/>
        <w:rPr>
          <w:color w:val="000000"/>
          <w:sz w:val="24"/>
          <w:szCs w:val="24"/>
        </w:rPr>
      </w:pPr>
      <w:r w:rsidDel="00000000" w:rsidR="00000000" w:rsidRPr="00000000">
        <w:rPr>
          <w:color w:val="000000"/>
          <w:sz w:val="24"/>
          <w:szCs w:val="24"/>
          <w:rtl w:val="0"/>
        </w:rPr>
        <w:t xml:space="preserve">Kaelan MS, “Kajian Makna Alquran,” 64</w:t>
      </w:r>
    </w:p>
    <w:p w:rsidR="00000000" w:rsidDel="00000000" w:rsidP="00000000" w:rsidRDefault="00000000" w:rsidRPr="00000000" w14:paraId="00000056">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57">
      <w:pPr>
        <w:pageBreakBefore w:val="0"/>
        <w:ind w:left="851" w:hanging="851"/>
        <w:jc w:val="both"/>
        <w:rPr>
          <w:color w:val="000000"/>
          <w:sz w:val="24"/>
          <w:szCs w:val="24"/>
        </w:rPr>
      </w:pPr>
      <w:r w:rsidDel="00000000" w:rsidR="00000000" w:rsidRPr="00000000">
        <w:rPr>
          <w:color w:val="000000"/>
          <w:sz w:val="24"/>
          <w:szCs w:val="24"/>
          <w:rtl w:val="0"/>
        </w:rPr>
        <w:t xml:space="preserve">Kaelan MS, Kajian Makna Alquran (Suatu Pendekatan Analitika Bahasa), dalam Sahiron Syamsuddin (dkk), Hermeneutika Mazhab Yogya, Yogyakarta: Islamika, 2003)</w:t>
      </w:r>
    </w:p>
    <w:p w:rsidR="00000000" w:rsidDel="00000000" w:rsidP="00000000" w:rsidRDefault="00000000" w:rsidRPr="00000000" w14:paraId="00000058">
      <w:pPr>
        <w:pageBreakBefore w:val="0"/>
        <w:jc w:val="both"/>
        <w:rPr>
          <w:color w:val="000000"/>
          <w:sz w:val="24"/>
          <w:szCs w:val="24"/>
        </w:rPr>
      </w:pPr>
      <w:r w:rsidDel="00000000" w:rsidR="00000000" w:rsidRPr="00000000">
        <w:rPr>
          <w:rtl w:val="0"/>
        </w:rPr>
      </w:r>
    </w:p>
    <w:p w:rsidR="00000000" w:rsidDel="00000000" w:rsidP="00000000" w:rsidRDefault="00000000" w:rsidRPr="00000000" w14:paraId="00000059">
      <w:pPr>
        <w:pageBreakBefore w:val="0"/>
        <w:jc w:val="both"/>
        <w:rPr>
          <w:b w:val="1"/>
          <w:color w:val="000000"/>
          <w:sz w:val="24"/>
          <w:szCs w:val="24"/>
        </w:rPr>
      </w:pPr>
      <w:r w:rsidDel="00000000" w:rsidR="00000000" w:rsidRPr="00000000">
        <w:rPr>
          <w:b w:val="1"/>
          <w:color w:val="000000"/>
          <w:sz w:val="24"/>
          <w:szCs w:val="24"/>
          <w:rtl w:val="0"/>
        </w:rPr>
        <w:t xml:space="preserve">Artikel dalam Jurnal Ilmiah</w:t>
      </w:r>
    </w:p>
    <w:p w:rsidR="00000000" w:rsidDel="00000000" w:rsidP="00000000" w:rsidRDefault="00000000" w:rsidRPr="00000000" w14:paraId="0000005A">
      <w:pPr>
        <w:pageBreakBefore w:val="0"/>
        <w:jc w:val="both"/>
        <w:rPr>
          <w:b w:val="1"/>
          <w:i w:val="1"/>
          <w:color w:val="000000"/>
          <w:sz w:val="24"/>
          <w:szCs w:val="24"/>
        </w:rPr>
      </w:pPr>
      <w:r w:rsidDel="00000000" w:rsidR="00000000" w:rsidRPr="00000000">
        <w:rPr>
          <w:b w:val="1"/>
          <w:i w:val="1"/>
          <w:color w:val="000000"/>
          <w:sz w:val="24"/>
          <w:szCs w:val="24"/>
          <w:rtl w:val="0"/>
        </w:rPr>
        <w:t xml:space="preserve">Catatan kaki</w:t>
      </w:r>
    </w:p>
    <w:p w:rsidR="00000000" w:rsidDel="00000000" w:rsidP="00000000" w:rsidRDefault="00000000" w:rsidRPr="00000000" w14:paraId="0000005B">
      <w:pPr>
        <w:pageBreakBefore w:val="0"/>
        <w:ind w:firstLine="720"/>
        <w:jc w:val="both"/>
        <w:rPr>
          <w:sz w:val="22"/>
          <w:szCs w:val="22"/>
        </w:rPr>
      </w:pPr>
      <w:r w:rsidDel="00000000" w:rsidR="00000000" w:rsidRPr="00000000">
        <w:rPr>
          <w:rFonts w:ascii="Times" w:cs="Times" w:eastAsia="Times" w:hAnsi="Times"/>
          <w:sz w:val="24"/>
          <w:szCs w:val="24"/>
          <w:highlight w:val="white"/>
          <w:vertAlign w:val="superscript"/>
          <w:rtl w:val="0"/>
        </w:rPr>
        <w:t xml:space="preserve">1</w:t>
      </w:r>
      <w:r w:rsidDel="00000000" w:rsidR="00000000" w:rsidRPr="00000000">
        <w:rPr>
          <w:rFonts w:ascii="Times" w:cs="Times" w:eastAsia="Times" w:hAnsi="Times"/>
          <w:sz w:val="24"/>
          <w:szCs w:val="24"/>
          <w:highlight w:val="white"/>
          <w:rtl w:val="0"/>
        </w:rPr>
        <w:t xml:space="preserve">Susan Satterfield, “Livy and the </w:t>
      </w:r>
      <w:r w:rsidDel="00000000" w:rsidR="00000000" w:rsidRPr="00000000">
        <w:rPr>
          <w:rFonts w:ascii="Times" w:cs="Times" w:eastAsia="Times" w:hAnsi="Times"/>
          <w:i w:val="1"/>
          <w:sz w:val="24"/>
          <w:szCs w:val="24"/>
          <w:highlight w:val="white"/>
          <w:rtl w:val="0"/>
        </w:rPr>
        <w:t xml:space="preserve">Pax Deum</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i w:val="1"/>
          <w:sz w:val="24"/>
          <w:szCs w:val="24"/>
          <w:highlight w:val="white"/>
          <w:rtl w:val="0"/>
        </w:rPr>
        <w:t xml:space="preserve">Classical Philology</w:t>
      </w:r>
      <w:r w:rsidDel="00000000" w:rsidR="00000000" w:rsidRPr="00000000">
        <w:rPr>
          <w:rFonts w:ascii="Times" w:cs="Times" w:eastAsia="Times" w:hAnsi="Times"/>
          <w:sz w:val="24"/>
          <w:szCs w:val="24"/>
          <w:highlight w:val="white"/>
          <w:rtl w:val="0"/>
        </w:rPr>
        <w:t xml:space="preserve"> 111, no. 2 (April 2016): 170.</w:t>
      </w:r>
      <w:r w:rsidDel="00000000" w:rsidR="00000000" w:rsidRPr="00000000">
        <w:rPr>
          <w:rtl w:val="0"/>
        </w:rPr>
      </w:r>
    </w:p>
    <w:p w:rsidR="00000000" w:rsidDel="00000000" w:rsidP="00000000" w:rsidRDefault="00000000" w:rsidRPr="00000000" w14:paraId="0000005C">
      <w:pPr>
        <w:pageBreakBefore w:val="0"/>
        <w:ind w:firstLine="720"/>
        <w:jc w:val="both"/>
        <w:rPr>
          <w:sz w:val="24"/>
          <w:szCs w:val="24"/>
        </w:rPr>
      </w:pPr>
      <w:r w:rsidDel="00000000" w:rsidR="00000000" w:rsidRPr="00000000">
        <w:rPr>
          <w:sz w:val="24"/>
          <w:szCs w:val="24"/>
          <w:rtl w:val="0"/>
        </w:rPr>
        <w:t xml:space="preserve">Arif Budiman, Edi Safri, Novizal Wendry,  “Studi Kritik Hadis Perspektif Jonathan A.C. Brown (Analisis terhadap Three Tiered Method),” </w:t>
      </w:r>
      <w:r w:rsidDel="00000000" w:rsidR="00000000" w:rsidRPr="00000000">
        <w:rPr>
          <w:i w:val="1"/>
          <w:sz w:val="24"/>
          <w:szCs w:val="24"/>
          <w:rtl w:val="0"/>
        </w:rPr>
        <w:t xml:space="preserve">Substantia: Jurnal Ilmu-Ilmu Ushuluddin</w:t>
      </w:r>
      <w:r w:rsidDel="00000000" w:rsidR="00000000" w:rsidRPr="00000000">
        <w:rPr>
          <w:sz w:val="24"/>
          <w:szCs w:val="24"/>
          <w:rtl w:val="0"/>
        </w:rPr>
        <w:t xml:space="preserve"> 22, No. 2 (Oktober, 2020): 15</w:t>
      </w:r>
    </w:p>
    <w:p w:rsidR="00000000" w:rsidDel="00000000" w:rsidP="00000000" w:rsidRDefault="00000000" w:rsidRPr="00000000" w14:paraId="0000005D">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Singkatan catatan kaki</w:t>
      </w:r>
    </w:p>
    <w:p w:rsidR="00000000" w:rsidDel="00000000" w:rsidP="00000000" w:rsidRDefault="00000000" w:rsidRPr="00000000" w14:paraId="0000005E">
      <w:pPr>
        <w:pageBreakBefore w:val="0"/>
        <w:ind w:firstLine="720"/>
        <w:jc w:val="both"/>
        <w:rPr>
          <w:sz w:val="22"/>
          <w:szCs w:val="22"/>
        </w:rPr>
      </w:pPr>
      <w:r w:rsidDel="00000000" w:rsidR="00000000" w:rsidRPr="00000000">
        <w:rPr>
          <w:sz w:val="24"/>
          <w:szCs w:val="24"/>
          <w:highlight w:val="white"/>
          <w:vertAlign w:val="superscript"/>
          <w:rtl w:val="0"/>
        </w:rPr>
        <w:t xml:space="preserve">1</w:t>
      </w:r>
      <w:r w:rsidDel="00000000" w:rsidR="00000000" w:rsidRPr="00000000">
        <w:rPr>
          <w:sz w:val="24"/>
          <w:szCs w:val="24"/>
          <w:highlight w:val="white"/>
          <w:rtl w:val="0"/>
        </w:rPr>
        <w:t xml:space="preserve">Satterfield, “Livy,” 172</w:t>
      </w:r>
      <w:r w:rsidDel="00000000" w:rsidR="00000000" w:rsidRPr="00000000">
        <w:rPr>
          <w:rFonts w:ascii="Times" w:cs="Times" w:eastAsia="Times" w:hAnsi="Times"/>
          <w:sz w:val="24"/>
          <w:szCs w:val="24"/>
          <w:highlight w:val="white"/>
          <w:rtl w:val="0"/>
        </w:rPr>
        <w:t xml:space="preserve">.</w:t>
      </w:r>
      <w:r w:rsidDel="00000000" w:rsidR="00000000" w:rsidRPr="00000000">
        <w:rPr>
          <w:rtl w:val="0"/>
        </w:rPr>
      </w:r>
    </w:p>
    <w:p w:rsidR="00000000" w:rsidDel="00000000" w:rsidP="00000000" w:rsidRDefault="00000000" w:rsidRPr="00000000" w14:paraId="0000005F">
      <w:pPr>
        <w:pageBreakBefore w:val="0"/>
        <w:ind w:firstLine="720"/>
        <w:jc w:val="both"/>
        <w:rPr>
          <w:sz w:val="24"/>
          <w:szCs w:val="24"/>
        </w:rPr>
      </w:pPr>
      <w:r w:rsidDel="00000000" w:rsidR="00000000" w:rsidRPr="00000000">
        <w:rPr>
          <w:sz w:val="24"/>
          <w:szCs w:val="24"/>
          <w:rtl w:val="0"/>
        </w:rPr>
        <w:t xml:space="preserve">Budiman, Safri, Wendry,  “Studi Kritik Hadis,” 19</w:t>
      </w:r>
    </w:p>
    <w:p w:rsidR="00000000" w:rsidDel="00000000" w:rsidP="00000000" w:rsidRDefault="00000000" w:rsidRPr="00000000" w14:paraId="00000060">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61">
      <w:pPr>
        <w:pageBreakBefore w:val="0"/>
        <w:ind w:left="709" w:hanging="709"/>
        <w:jc w:val="both"/>
        <w:rPr>
          <w:rFonts w:ascii="Calibri" w:cs="Calibri" w:eastAsia="Calibri" w:hAnsi="Calibri"/>
          <w:sz w:val="22"/>
          <w:szCs w:val="22"/>
        </w:rPr>
      </w:pPr>
      <w:r w:rsidDel="00000000" w:rsidR="00000000" w:rsidRPr="00000000">
        <w:rPr>
          <w:rFonts w:ascii="Times" w:cs="Times" w:eastAsia="Times" w:hAnsi="Times"/>
          <w:sz w:val="24"/>
          <w:szCs w:val="24"/>
          <w:highlight w:val="white"/>
          <w:rtl w:val="0"/>
        </w:rPr>
        <w:t xml:space="preserve">Satterfield</w:t>
      </w:r>
      <w:r w:rsidDel="00000000" w:rsidR="00000000" w:rsidRPr="00000000">
        <w:rPr>
          <w:sz w:val="24"/>
          <w:szCs w:val="24"/>
          <w:highlight w:val="white"/>
          <w:rtl w:val="0"/>
        </w:rPr>
        <w:t xml:space="preserve">,</w:t>
      </w:r>
      <w:r w:rsidDel="00000000" w:rsidR="00000000" w:rsidRPr="00000000">
        <w:rPr>
          <w:rFonts w:ascii="Times" w:cs="Times" w:eastAsia="Times" w:hAnsi="Times"/>
          <w:sz w:val="24"/>
          <w:szCs w:val="24"/>
          <w:highlight w:val="white"/>
          <w:rtl w:val="0"/>
        </w:rPr>
        <w:t xml:space="preserve"> Susan, “Livy and the </w:t>
      </w:r>
      <w:r w:rsidDel="00000000" w:rsidR="00000000" w:rsidRPr="00000000">
        <w:rPr>
          <w:rFonts w:ascii="Times" w:cs="Times" w:eastAsia="Times" w:hAnsi="Times"/>
          <w:i w:val="1"/>
          <w:sz w:val="24"/>
          <w:szCs w:val="24"/>
          <w:highlight w:val="white"/>
          <w:rtl w:val="0"/>
        </w:rPr>
        <w:t xml:space="preserve">Pax Deum</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i w:val="1"/>
          <w:sz w:val="24"/>
          <w:szCs w:val="24"/>
          <w:highlight w:val="white"/>
          <w:rtl w:val="0"/>
        </w:rPr>
        <w:t xml:space="preserve">Classical Philology</w:t>
      </w:r>
      <w:r w:rsidDel="00000000" w:rsidR="00000000" w:rsidRPr="00000000">
        <w:rPr>
          <w:rFonts w:ascii="Times" w:cs="Times" w:eastAsia="Times" w:hAnsi="Times"/>
          <w:sz w:val="24"/>
          <w:szCs w:val="24"/>
          <w:highlight w:val="white"/>
          <w:rtl w:val="0"/>
        </w:rPr>
        <w:t xml:space="preserve"> 111, no. 2 (April 2016)</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62">
      <w:pPr>
        <w:pageBreakBefore w:val="0"/>
        <w:ind w:left="709" w:hanging="709"/>
        <w:jc w:val="both"/>
        <w:rPr>
          <w:sz w:val="24"/>
          <w:szCs w:val="24"/>
        </w:rPr>
      </w:pPr>
      <w:r w:rsidDel="00000000" w:rsidR="00000000" w:rsidRPr="00000000">
        <w:rPr>
          <w:sz w:val="24"/>
          <w:szCs w:val="24"/>
          <w:rtl w:val="0"/>
        </w:rPr>
        <w:t xml:space="preserve">Budiman-Arif, Safri-Edi, Wendry-Novizal,   “Studi Kritik Hadis Perspektif Jonathan A.C. Brown (Analisis terhadap Three Tiered Method),” </w:t>
      </w:r>
      <w:r w:rsidDel="00000000" w:rsidR="00000000" w:rsidRPr="00000000">
        <w:rPr>
          <w:i w:val="1"/>
          <w:sz w:val="24"/>
          <w:szCs w:val="24"/>
          <w:rtl w:val="0"/>
        </w:rPr>
        <w:t xml:space="preserve">Substantia: Jurnal Ilmu-Ilmu Ushuluddin</w:t>
      </w:r>
      <w:r w:rsidDel="00000000" w:rsidR="00000000" w:rsidRPr="00000000">
        <w:rPr>
          <w:sz w:val="24"/>
          <w:szCs w:val="24"/>
          <w:rtl w:val="0"/>
        </w:rPr>
        <w:t xml:space="preserve"> 22, No. 2 (Oktober, 2020): 15.</w:t>
      </w:r>
    </w:p>
    <w:p w:rsidR="00000000" w:rsidDel="00000000" w:rsidP="00000000" w:rsidRDefault="00000000" w:rsidRPr="00000000" w14:paraId="00000063">
      <w:pPr>
        <w:pageBreakBefore w:val="0"/>
        <w:ind w:left="851" w:hanging="851"/>
        <w:jc w:val="both"/>
        <w:rPr>
          <w:b w:val="1"/>
          <w:color w:val="000000"/>
          <w:sz w:val="24"/>
          <w:szCs w:val="24"/>
        </w:rPr>
      </w:pPr>
      <w:r w:rsidDel="00000000" w:rsidR="00000000" w:rsidRPr="00000000">
        <w:rPr>
          <w:rtl w:val="0"/>
        </w:rPr>
      </w:r>
    </w:p>
    <w:p w:rsidR="00000000" w:rsidDel="00000000" w:rsidP="00000000" w:rsidRDefault="00000000" w:rsidRPr="00000000" w14:paraId="00000064">
      <w:pPr>
        <w:pageBreakBefore w:val="0"/>
        <w:jc w:val="both"/>
        <w:rPr>
          <w:b w:val="1"/>
          <w:color w:val="000000"/>
          <w:sz w:val="24"/>
          <w:szCs w:val="24"/>
        </w:rPr>
      </w:pPr>
      <w:r w:rsidDel="00000000" w:rsidR="00000000" w:rsidRPr="00000000">
        <w:rPr>
          <w:rtl w:val="0"/>
        </w:rPr>
      </w:r>
    </w:p>
    <w:p w:rsidR="00000000" w:rsidDel="00000000" w:rsidP="00000000" w:rsidRDefault="00000000" w:rsidRPr="00000000" w14:paraId="00000065">
      <w:pPr>
        <w:pageBreakBefore w:val="0"/>
        <w:jc w:val="both"/>
        <w:rPr>
          <w:b w:val="1"/>
          <w:color w:val="000000"/>
          <w:sz w:val="24"/>
          <w:szCs w:val="24"/>
        </w:rPr>
      </w:pPr>
      <w:r w:rsidDel="00000000" w:rsidR="00000000" w:rsidRPr="00000000">
        <w:rPr>
          <w:rtl w:val="0"/>
        </w:rPr>
      </w:r>
    </w:p>
    <w:p w:rsidR="00000000" w:rsidDel="00000000" w:rsidP="00000000" w:rsidRDefault="00000000" w:rsidRPr="00000000" w14:paraId="00000066">
      <w:pPr>
        <w:pageBreakBefore w:val="0"/>
        <w:jc w:val="both"/>
        <w:rPr>
          <w:b w:val="1"/>
          <w:color w:val="000000"/>
          <w:sz w:val="24"/>
          <w:szCs w:val="24"/>
        </w:rPr>
      </w:pPr>
      <w:r w:rsidDel="00000000" w:rsidR="00000000" w:rsidRPr="00000000">
        <w:rPr>
          <w:b w:val="1"/>
          <w:color w:val="000000"/>
          <w:sz w:val="24"/>
          <w:szCs w:val="24"/>
          <w:rtl w:val="0"/>
        </w:rPr>
        <w:t xml:space="preserve">Artikel dalam Ensiklopedia</w:t>
      </w:r>
    </w:p>
    <w:p w:rsidR="00000000" w:rsidDel="00000000" w:rsidP="00000000" w:rsidRDefault="00000000" w:rsidRPr="00000000" w14:paraId="00000067">
      <w:pPr>
        <w:pageBreakBefore w:val="0"/>
        <w:jc w:val="both"/>
        <w:rPr>
          <w:b w:val="1"/>
          <w:i w:val="1"/>
          <w:color w:val="000000"/>
          <w:sz w:val="24"/>
          <w:szCs w:val="24"/>
        </w:rPr>
      </w:pPr>
      <w:r w:rsidDel="00000000" w:rsidR="00000000" w:rsidRPr="00000000">
        <w:rPr>
          <w:b w:val="1"/>
          <w:i w:val="1"/>
          <w:color w:val="000000"/>
          <w:sz w:val="24"/>
          <w:szCs w:val="24"/>
          <w:rtl w:val="0"/>
        </w:rPr>
        <w:t xml:space="preserve">Catatan kaki</w:t>
      </w:r>
    </w:p>
    <w:p w:rsidR="00000000" w:rsidDel="00000000" w:rsidP="00000000" w:rsidRDefault="00000000" w:rsidRPr="00000000" w14:paraId="00000068">
      <w:pPr>
        <w:pageBreakBefore w:val="0"/>
        <w:ind w:firstLine="720"/>
        <w:jc w:val="both"/>
        <w:rPr>
          <w:color w:val="000000"/>
          <w:sz w:val="24"/>
          <w:szCs w:val="24"/>
        </w:rPr>
      </w:pPr>
      <w:r w:rsidDel="00000000" w:rsidR="00000000" w:rsidRPr="00000000">
        <w:rPr>
          <w:color w:val="000000"/>
          <w:sz w:val="24"/>
          <w:szCs w:val="24"/>
          <w:rtl w:val="0"/>
        </w:rPr>
        <w:t xml:space="preserve">Syamsu Rizal Penggabaean, “Din, Dunya, dan Dakwah”, dalam Taufik Abdullah, dkk, (eds), </w:t>
      </w:r>
      <w:r w:rsidDel="00000000" w:rsidR="00000000" w:rsidRPr="00000000">
        <w:rPr>
          <w:i w:val="1"/>
          <w:color w:val="000000"/>
          <w:sz w:val="24"/>
          <w:szCs w:val="24"/>
          <w:rtl w:val="0"/>
        </w:rPr>
        <w:t xml:space="preserve">Ensiklopedi Tematis Dunia Islam</w:t>
      </w:r>
      <w:r w:rsidDel="00000000" w:rsidR="00000000" w:rsidRPr="00000000">
        <w:rPr>
          <w:color w:val="000000"/>
          <w:sz w:val="24"/>
          <w:szCs w:val="24"/>
          <w:rtl w:val="0"/>
        </w:rPr>
        <w:t xml:space="preserve">, Vol, 6, (Jakarta: PT Ikhtiar Baru Van Haove, t.th), hlm. 50.</w:t>
      </w:r>
    </w:p>
    <w:p w:rsidR="00000000" w:rsidDel="00000000" w:rsidP="00000000" w:rsidRDefault="00000000" w:rsidRPr="00000000" w14:paraId="00000069">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Singkatan catatan kaki</w:t>
      </w:r>
    </w:p>
    <w:p w:rsidR="00000000" w:rsidDel="00000000" w:rsidP="00000000" w:rsidRDefault="00000000" w:rsidRPr="00000000" w14:paraId="0000006A">
      <w:pPr>
        <w:pageBreakBefore w:val="0"/>
        <w:ind w:firstLine="720"/>
        <w:jc w:val="both"/>
        <w:rPr>
          <w:color w:val="000000"/>
          <w:sz w:val="24"/>
          <w:szCs w:val="24"/>
        </w:rPr>
      </w:pPr>
      <w:r w:rsidDel="00000000" w:rsidR="00000000" w:rsidRPr="00000000">
        <w:rPr>
          <w:color w:val="000000"/>
          <w:sz w:val="24"/>
          <w:szCs w:val="24"/>
          <w:rtl w:val="0"/>
        </w:rPr>
        <w:t xml:space="preserve">Penggabaean, “Din, Dunya, dan Dakwah”,</w:t>
      </w:r>
    </w:p>
    <w:p w:rsidR="00000000" w:rsidDel="00000000" w:rsidP="00000000" w:rsidRDefault="00000000" w:rsidRPr="00000000" w14:paraId="0000006B">
      <w:pPr>
        <w:pageBreakBefore w:val="0"/>
        <w:spacing w:before="240" w:lineRule="auto"/>
        <w:jc w:val="both"/>
        <w:rPr>
          <w:b w:val="1"/>
          <w:i w:val="1"/>
          <w:color w:val="000000"/>
          <w:sz w:val="24"/>
          <w:szCs w:val="24"/>
        </w:rPr>
      </w:pPr>
      <w:r w:rsidDel="00000000" w:rsidR="00000000" w:rsidRPr="00000000">
        <w:rPr>
          <w:b w:val="1"/>
          <w:i w:val="1"/>
          <w:color w:val="000000"/>
          <w:sz w:val="24"/>
          <w:szCs w:val="24"/>
          <w:rtl w:val="0"/>
        </w:rPr>
        <w:t xml:space="preserve">Daftar Kepustakaan</w:t>
      </w:r>
    </w:p>
    <w:p w:rsidR="00000000" w:rsidDel="00000000" w:rsidP="00000000" w:rsidRDefault="00000000" w:rsidRPr="00000000" w14:paraId="0000006C">
      <w:pPr>
        <w:pageBreakBefore w:val="0"/>
        <w:ind w:left="851" w:hanging="851"/>
        <w:jc w:val="both"/>
        <w:rPr>
          <w:color w:val="000000"/>
          <w:sz w:val="24"/>
          <w:szCs w:val="24"/>
        </w:rPr>
      </w:pPr>
      <w:r w:rsidDel="00000000" w:rsidR="00000000" w:rsidRPr="00000000">
        <w:rPr>
          <w:color w:val="000000"/>
          <w:sz w:val="24"/>
          <w:szCs w:val="24"/>
          <w:rtl w:val="0"/>
        </w:rPr>
        <w:t xml:space="preserve">Penggabaean, Syamsu Rizal, Din, Dunya, dan Dakwah, dalam Taufik Abdullah, dkk, (eds), Ensiklopedi Tematis Dunia Islam, Vol, 6, Jakarta: PT Ikhtiar Baru Van Haove, t.th.</w:t>
      </w:r>
    </w:p>
    <w:p w:rsidR="00000000" w:rsidDel="00000000" w:rsidP="00000000" w:rsidRDefault="00000000" w:rsidRPr="00000000" w14:paraId="0000006D">
      <w:pPr>
        <w:pageBreakBefore w:val="0"/>
        <w:ind w:left="851" w:hanging="851"/>
        <w:jc w:val="both"/>
        <w:rPr>
          <w:color w:val="000000"/>
          <w:sz w:val="24"/>
          <w:szCs w:val="24"/>
        </w:rPr>
      </w:pPr>
      <w:r w:rsidDel="00000000" w:rsidR="00000000" w:rsidRPr="00000000">
        <w:rPr>
          <w:rtl w:val="0"/>
        </w:rPr>
      </w:r>
    </w:p>
    <w:p w:rsidR="00000000" w:rsidDel="00000000" w:rsidP="00000000" w:rsidRDefault="00000000" w:rsidRPr="00000000" w14:paraId="0000006E">
      <w:pPr>
        <w:pageBreakBefore w:val="0"/>
        <w:ind w:left="851" w:hanging="851"/>
        <w:jc w:val="both"/>
        <w:rPr>
          <w:b w:val="1"/>
          <w:color w:val="000000"/>
          <w:sz w:val="24"/>
          <w:szCs w:val="24"/>
        </w:rPr>
      </w:pPr>
      <w:r w:rsidDel="00000000" w:rsidR="00000000" w:rsidRPr="00000000">
        <w:rPr>
          <w:b w:val="1"/>
          <w:color w:val="000000"/>
          <w:sz w:val="24"/>
          <w:szCs w:val="24"/>
          <w:rtl w:val="0"/>
        </w:rPr>
        <w:t xml:space="preserve">Tesis dan Disertasi</w:t>
      </w:r>
    </w:p>
    <w:p w:rsidR="00000000" w:rsidDel="00000000" w:rsidP="00000000" w:rsidRDefault="00000000" w:rsidRPr="00000000" w14:paraId="0000006F">
      <w:pPr>
        <w:pageBreakBefore w:val="0"/>
        <w:ind w:left="851" w:hanging="851"/>
        <w:jc w:val="both"/>
        <w:rPr>
          <w:b w:val="1"/>
          <w:color w:val="000000"/>
          <w:sz w:val="24"/>
          <w:szCs w:val="24"/>
        </w:rPr>
      </w:pPr>
      <w:r w:rsidDel="00000000" w:rsidR="00000000" w:rsidRPr="00000000">
        <w:rPr>
          <w:b w:val="1"/>
          <w:i w:val="1"/>
          <w:color w:val="000000"/>
          <w:sz w:val="24"/>
          <w:szCs w:val="24"/>
          <w:rtl w:val="0"/>
        </w:rPr>
        <w:t xml:space="preserve">Catatan kaki</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Cynthia Lillian Rutz,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King 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Folktale Analogues” (PhD diss., University of Chicago, 2013), 99–100.</w:t>
      </w:r>
    </w:p>
    <w:p w:rsidR="00000000" w:rsidDel="00000000" w:rsidP="00000000" w:rsidRDefault="00000000" w:rsidRPr="00000000" w14:paraId="00000071">
      <w:pPr>
        <w:pageBreakBefore w:val="0"/>
        <w:spacing w:before="240" w:lineRule="auto"/>
        <w:jc w:val="both"/>
        <w:rPr>
          <w:b w:val="1"/>
          <w:i w:val="1"/>
          <w:sz w:val="24"/>
          <w:szCs w:val="24"/>
        </w:rPr>
      </w:pPr>
      <w:r w:rsidDel="00000000" w:rsidR="00000000" w:rsidRPr="00000000">
        <w:rPr>
          <w:b w:val="1"/>
          <w:i w:val="1"/>
          <w:sz w:val="24"/>
          <w:szCs w:val="24"/>
          <w:rtl w:val="0"/>
        </w:rPr>
        <w:t xml:space="preserve">Singkatan catatan kaki</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King 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158.</w:t>
      </w:r>
    </w:p>
    <w:p w:rsidR="00000000" w:rsidDel="00000000" w:rsidP="00000000" w:rsidRDefault="00000000" w:rsidRPr="00000000" w14:paraId="00000073">
      <w:pPr>
        <w:pageBreakBefore w:val="0"/>
        <w:spacing w:before="240" w:lineRule="auto"/>
        <w:jc w:val="both"/>
        <w:rPr>
          <w:b w:val="1"/>
          <w:i w:val="1"/>
          <w:sz w:val="24"/>
          <w:szCs w:val="24"/>
        </w:rPr>
      </w:pPr>
      <w:r w:rsidDel="00000000" w:rsidR="00000000" w:rsidRPr="00000000">
        <w:rPr>
          <w:b w:val="1"/>
          <w:i w:val="1"/>
          <w:sz w:val="24"/>
          <w:szCs w:val="24"/>
          <w:rtl w:val="0"/>
        </w:rPr>
        <w:t xml:space="preserve">Daftar Kepustakaan</w:t>
      </w:r>
    </w:p>
    <w:p w:rsidR="00000000" w:rsidDel="00000000" w:rsidP="00000000" w:rsidRDefault="00000000" w:rsidRPr="00000000" w14:paraId="00000074">
      <w:pPr>
        <w:pageBreakBefore w:val="0"/>
        <w:ind w:left="709" w:hanging="709"/>
        <w:jc w:val="both"/>
        <w:rPr>
          <w:sz w:val="24"/>
          <w:szCs w:val="24"/>
        </w:rPr>
      </w:pPr>
      <w:r w:rsidDel="00000000" w:rsidR="00000000" w:rsidRPr="00000000">
        <w:rPr>
          <w:sz w:val="24"/>
          <w:szCs w:val="24"/>
          <w:rtl w:val="0"/>
        </w:rPr>
        <w:t xml:space="preserve">Rutz, Cynthia Lillian. “King Lear and Its Folktale Analogues.” PhD diss., University of Chicago, 2013.</w:t>
      </w:r>
    </w:p>
    <w:p w:rsidR="00000000" w:rsidDel="00000000" w:rsidP="00000000" w:rsidRDefault="00000000" w:rsidRPr="00000000" w14:paraId="00000075">
      <w:pPr>
        <w:pageBreakBefore w:val="0"/>
        <w:jc w:val="both"/>
        <w:rPr>
          <w:sz w:val="24"/>
          <w:szCs w:val="24"/>
        </w:rPr>
      </w:pPr>
      <w:r w:rsidDel="00000000" w:rsidR="00000000" w:rsidRPr="00000000">
        <w:rPr>
          <w:rtl w:val="0"/>
        </w:rPr>
      </w:r>
    </w:p>
    <w:p w:rsidR="00000000" w:rsidDel="00000000" w:rsidP="00000000" w:rsidRDefault="00000000" w:rsidRPr="00000000" w14:paraId="00000076">
      <w:pPr>
        <w:pageBreakBefore w:val="0"/>
        <w:ind w:left="851" w:hanging="851"/>
        <w:jc w:val="both"/>
        <w:rPr>
          <w:b w:val="1"/>
          <w:color w:val="000000"/>
          <w:sz w:val="24"/>
          <w:szCs w:val="24"/>
        </w:rPr>
      </w:pPr>
      <w:r w:rsidDel="00000000" w:rsidR="00000000" w:rsidRPr="00000000">
        <w:rPr>
          <w:b w:val="1"/>
          <w:color w:val="000000"/>
          <w:sz w:val="24"/>
          <w:szCs w:val="24"/>
          <w:rtl w:val="0"/>
        </w:rPr>
        <w:t xml:space="preserve">Website</w:t>
      </w:r>
    </w:p>
    <w:p w:rsidR="00000000" w:rsidDel="00000000" w:rsidP="00000000" w:rsidRDefault="00000000" w:rsidRPr="00000000" w14:paraId="00000077">
      <w:pPr>
        <w:pageBreakBefore w:val="0"/>
        <w:ind w:left="851" w:hanging="851"/>
        <w:jc w:val="both"/>
        <w:rPr>
          <w:b w:val="1"/>
          <w:color w:val="000000"/>
          <w:sz w:val="24"/>
          <w:szCs w:val="24"/>
        </w:rPr>
      </w:pPr>
      <w:r w:rsidDel="00000000" w:rsidR="00000000" w:rsidRPr="00000000">
        <w:rPr>
          <w:b w:val="1"/>
          <w:i w:val="1"/>
          <w:color w:val="000000"/>
          <w:sz w:val="24"/>
          <w:szCs w:val="24"/>
          <w:rtl w:val="0"/>
        </w:rPr>
        <w:t xml:space="preserve">Catatan kaki</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“Privacy Policy,” Privacy &amp; Terms, Google, last modified April 17, 2017, </w:t>
      </w:r>
      <w:hyperlink r:id="rId9">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https://www.google.com/policies/privacy/</w:t>
        </w:r>
      </w:hyperlink>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“About Yale: Yale Facts,” Yale University, diakses 1 Mei 2017, </w:t>
      </w:r>
      <w:hyperlink r:id="rId10">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https://www.yale.edu/about-yale/yale-facts</w:t>
        </w:r>
      </w:hyperlink>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superscript"/>
          <w:rtl w:val="0"/>
        </w:rPr>
        <w:t xml:space="preserve">3</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Katie Bouman, “How to Take a Picture of a Black Hole,” filmed November 2016 at TEDxBeaconStreet, Brookline, MA, video, 12:51, </w:t>
      </w:r>
      <w:hyperlink r:id="rId11">
        <w:r w:rsidDel="00000000" w:rsidR="00000000" w:rsidRPr="00000000">
          <w:rPr>
            <w:rFonts w:ascii="Times" w:cs="Times" w:eastAsia="Times" w:hAnsi="Times"/>
            <w:b w:val="0"/>
            <w:i w:val="0"/>
            <w:smallCaps w:val="0"/>
            <w:strike w:val="0"/>
            <w:color w:val="0000ff"/>
            <w:sz w:val="24"/>
            <w:szCs w:val="24"/>
            <w:highlight w:val="white"/>
            <w:u w:val="single"/>
            <w:vertAlign w:val="baseline"/>
            <w:rtl w:val="0"/>
          </w:rPr>
          <w:t xml:space="preserve">https://www.ted.com/talks/katie_bouman_what_does_a_black_hole_look_like</w:t>
        </w:r>
      </w:hyperlink>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7B">
      <w:pPr>
        <w:pageBreakBefore w:val="0"/>
        <w:spacing w:before="240" w:lineRule="auto"/>
        <w:jc w:val="both"/>
        <w:rPr>
          <w:b w:val="1"/>
          <w:i w:val="1"/>
          <w:sz w:val="24"/>
          <w:szCs w:val="24"/>
        </w:rPr>
      </w:pPr>
      <w:r w:rsidDel="00000000" w:rsidR="00000000" w:rsidRPr="00000000">
        <w:rPr>
          <w:b w:val="1"/>
          <w:i w:val="1"/>
          <w:sz w:val="24"/>
          <w:szCs w:val="24"/>
          <w:rtl w:val="0"/>
        </w:rPr>
        <w:t xml:space="preserve">Singkatan catatan kaki</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4</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Google, “Privacy Policy.”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“Yale Facts.”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720"/>
        <w:jc w:val="left"/>
        <w:rPr>
          <w:rFonts w:ascii="Times" w:cs="Times" w:eastAsia="Times" w:hAnsi="Times"/>
          <w:b w:val="0"/>
          <w:i w:val="0"/>
          <w:smallCaps w:val="0"/>
          <w:strike w:val="0"/>
          <w:color w:val="666666"/>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Bouman, “Black Hole.”</w:t>
      </w:r>
      <w:r w:rsidDel="00000000" w:rsidR="00000000" w:rsidRPr="00000000">
        <w:rPr>
          <w:rtl w:val="0"/>
        </w:rPr>
      </w:r>
    </w:p>
    <w:p w:rsidR="00000000" w:rsidDel="00000000" w:rsidP="00000000" w:rsidRDefault="00000000" w:rsidRPr="00000000" w14:paraId="0000007F">
      <w:pPr>
        <w:pageBreakBefore w:val="0"/>
        <w:spacing w:before="240" w:lineRule="auto"/>
        <w:jc w:val="both"/>
        <w:rPr>
          <w:b w:val="1"/>
          <w:i w:val="1"/>
          <w:sz w:val="24"/>
          <w:szCs w:val="24"/>
        </w:rPr>
      </w:pPr>
      <w:r w:rsidDel="00000000" w:rsidR="00000000" w:rsidRPr="00000000">
        <w:rPr>
          <w:b w:val="1"/>
          <w:i w:val="1"/>
          <w:sz w:val="24"/>
          <w:szCs w:val="24"/>
          <w:rtl w:val="0"/>
        </w:rPr>
        <w:t xml:space="preserve">Daftar Kepustakaan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70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Bouman, Katie. “How to Take a Picture of a Black Hole.” Filmed November 2016 at TEDxBeaconStreet, Brookline, MA. Video, 12:51. https://www.ted.com/talks/katie_bouman_what_does_a_black_hole_look_like.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70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Google. “Privacy Policy.” Privacy &amp; Terms. Last modified April 17, 2017. https://www.google.com/policies/privacy/.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70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Yale University. “About Yale: Yale Facts.” Diakses 1 Mei 2017. https://www.yale.edu/about-yale/yale-facts.</w:t>
      </w:r>
    </w:p>
    <w:p w:rsidR="00000000" w:rsidDel="00000000" w:rsidP="00000000" w:rsidRDefault="00000000" w:rsidRPr="00000000" w14:paraId="00000083">
      <w:pPr>
        <w:pageBreakBefore w:val="0"/>
        <w:ind w:left="709" w:hanging="709"/>
        <w:jc w:val="both"/>
        <w:rPr>
          <w:sz w:val="24"/>
          <w:szCs w:val="24"/>
        </w:rPr>
      </w:pPr>
      <w:r w:rsidDel="00000000" w:rsidR="00000000" w:rsidRPr="00000000">
        <w:rPr>
          <w:rtl w:val="0"/>
        </w:rPr>
      </w:r>
    </w:p>
    <w:p w:rsidR="00000000" w:rsidDel="00000000" w:rsidP="00000000" w:rsidRDefault="00000000" w:rsidRPr="00000000" w14:paraId="00000084">
      <w:pPr>
        <w:pageBreakBefore w:val="0"/>
        <w:jc w:val="both"/>
        <w:rPr>
          <w:sz w:val="24"/>
          <w:szCs w:val="24"/>
        </w:rPr>
      </w:pPr>
      <w:r w:rsidDel="00000000" w:rsidR="00000000" w:rsidRPr="00000000">
        <w:rPr>
          <w:rtl w:val="0"/>
        </w:rPr>
      </w:r>
    </w:p>
    <w:p w:rsidR="00000000" w:rsidDel="00000000" w:rsidP="00000000" w:rsidRDefault="00000000" w:rsidRPr="00000000" w14:paraId="00000085">
      <w:pPr>
        <w:pageBreakBefore w:val="0"/>
        <w:jc w:val="both"/>
        <w:rPr>
          <w:sz w:val="24"/>
          <w:szCs w:val="24"/>
        </w:rPr>
      </w:pPr>
      <w:r w:rsidDel="00000000" w:rsidR="00000000" w:rsidRPr="00000000">
        <w:rPr>
          <w:rtl w:val="0"/>
        </w:rPr>
      </w:r>
    </w:p>
    <w:p w:rsidR="00000000" w:rsidDel="00000000" w:rsidP="00000000" w:rsidRDefault="00000000" w:rsidRPr="00000000" w14:paraId="00000086">
      <w:pPr>
        <w:pageBreakBefore w:val="0"/>
        <w:jc w:val="both"/>
        <w:rPr>
          <w:b w:val="1"/>
          <w:sz w:val="24"/>
          <w:szCs w:val="24"/>
        </w:rPr>
      </w:pPr>
      <w:r w:rsidDel="00000000" w:rsidR="00000000" w:rsidRPr="00000000">
        <w:rPr>
          <w:b w:val="1"/>
          <w:sz w:val="24"/>
          <w:szCs w:val="24"/>
          <w:rtl w:val="0"/>
        </w:rPr>
        <w:t xml:space="preserve">Kesimpulan</w:t>
      </w:r>
    </w:p>
    <w:p w:rsidR="00000000" w:rsidDel="00000000" w:rsidP="00000000" w:rsidRDefault="00000000" w:rsidRPr="00000000" w14:paraId="00000087">
      <w:pPr>
        <w:pageBreakBefore w:val="0"/>
        <w:ind w:firstLine="720"/>
        <w:jc w:val="both"/>
        <w:rPr>
          <w:sz w:val="24"/>
          <w:szCs w:val="24"/>
        </w:rPr>
      </w:pPr>
      <w:r w:rsidDel="00000000" w:rsidR="00000000" w:rsidRPr="00000000">
        <w:rPr>
          <w:sz w:val="24"/>
          <w:szCs w:val="24"/>
          <w:rtl w:val="0"/>
        </w:rPr>
        <w:t xml:space="preserve">Kesimpulan ini dimaksudkan untuk membantu pembaca memahami mengapa penelitian ini penting bagi mereka setelah mereka selesai membaca artikel. Kesimpulan bukan hanya ringkasan dari topik utama yang dibahas atau pernyataan ulang dari masalah penelitian, tetapi juga sebuah sintesis dari poin-poin utama dan, dapat juga merekomendasikan wilayah baru untuk penelitian selanjutnya. Satu paragraf yang dikembangkan dengan baik cukup sebagai kesimpulan, meskipun dalam beberapa kasus, dua atau tiga paragraf kesimpulan bila diperlukan.</w:t>
      </w:r>
    </w:p>
    <w:p w:rsidR="00000000" w:rsidDel="00000000" w:rsidP="00000000" w:rsidRDefault="00000000" w:rsidRPr="00000000" w14:paraId="00000088">
      <w:pPr>
        <w:pageBreakBefore w:val="0"/>
        <w:jc w:val="both"/>
        <w:rPr>
          <w:sz w:val="24"/>
          <w:szCs w:val="24"/>
        </w:rPr>
      </w:pPr>
      <w:r w:rsidDel="00000000" w:rsidR="00000000" w:rsidRPr="00000000">
        <w:rPr>
          <w:rtl w:val="0"/>
        </w:rPr>
      </w:r>
    </w:p>
    <w:p w:rsidR="00000000" w:rsidDel="00000000" w:rsidP="00000000" w:rsidRDefault="00000000" w:rsidRPr="00000000" w14:paraId="00000089">
      <w:pPr>
        <w:pageBreakBefore w:val="0"/>
        <w:rPr>
          <w:b w:val="1"/>
          <w:sz w:val="24"/>
          <w:szCs w:val="24"/>
        </w:rPr>
      </w:pPr>
      <w:r w:rsidDel="00000000" w:rsidR="00000000" w:rsidRPr="00000000">
        <w:rPr>
          <w:rtl w:val="0"/>
        </w:rPr>
      </w:r>
    </w:p>
    <w:p w:rsidR="00000000" w:rsidDel="00000000" w:rsidP="00000000" w:rsidRDefault="00000000" w:rsidRPr="00000000" w14:paraId="0000008A">
      <w:pPr>
        <w:pageBreakBefore w:val="0"/>
        <w:rPr>
          <w:b w:val="1"/>
          <w:sz w:val="24"/>
          <w:szCs w:val="24"/>
        </w:rPr>
      </w:pPr>
      <w:r w:rsidDel="00000000" w:rsidR="00000000" w:rsidRPr="00000000">
        <w:rPr>
          <w:b w:val="1"/>
          <w:sz w:val="24"/>
          <w:szCs w:val="24"/>
          <w:rtl w:val="0"/>
        </w:rPr>
        <w:t xml:space="preserve">DAFTAR KEPUSTAKAAN</w:t>
      </w:r>
    </w:p>
    <w:p w:rsidR="00000000" w:rsidDel="00000000" w:rsidP="00000000" w:rsidRDefault="00000000" w:rsidRPr="00000000" w14:paraId="0000008B">
      <w:pPr>
        <w:pageBreakBefore w:val="0"/>
        <w:rPr>
          <w:b w:val="1"/>
          <w:sz w:val="24"/>
          <w:szCs w:val="24"/>
        </w:rPr>
      </w:pPr>
      <w:r w:rsidDel="00000000" w:rsidR="00000000" w:rsidRPr="00000000">
        <w:rPr>
          <w:b w:val="1"/>
          <w:sz w:val="24"/>
          <w:szCs w:val="24"/>
          <w:rtl w:val="0"/>
        </w:rPr>
        <w:t xml:space="preserve"> (ditulis di tengah halaman, huruf kapital, bold, Time New Roman, 12)</w:t>
      </w:r>
    </w:p>
    <w:p w:rsidR="00000000" w:rsidDel="00000000" w:rsidP="00000000" w:rsidRDefault="00000000" w:rsidRPr="00000000" w14:paraId="0000008C">
      <w:pPr>
        <w:pageBreakBefore w:val="0"/>
        <w:rPr>
          <w:sz w:val="24"/>
          <w:szCs w:val="24"/>
        </w:rPr>
      </w:pPr>
      <w:r w:rsidDel="00000000" w:rsidR="00000000" w:rsidRPr="00000000">
        <w:rPr>
          <w:rtl w:val="0"/>
        </w:rPr>
      </w:r>
    </w:p>
    <w:p w:rsidR="00000000" w:rsidDel="00000000" w:rsidP="00000000" w:rsidRDefault="00000000" w:rsidRPr="00000000" w14:paraId="0000008D">
      <w:pPr>
        <w:pageBreakBefore w:val="0"/>
        <w:ind w:firstLine="720"/>
        <w:jc w:val="both"/>
        <w:rPr>
          <w:sz w:val="24"/>
          <w:szCs w:val="24"/>
        </w:rPr>
      </w:pPr>
      <w:r w:rsidDel="00000000" w:rsidR="00000000" w:rsidRPr="00000000">
        <w:rPr>
          <w:sz w:val="24"/>
          <w:szCs w:val="24"/>
          <w:rtl w:val="0"/>
        </w:rPr>
        <w:t xml:space="preserve">Semua referensi ditulis  dalam format yang sama dengan teks mengikuti  Chicago Style sebagaimana dijelaskan di atas.</w:t>
      </w:r>
      <w:r w:rsidDel="00000000" w:rsidR="00000000" w:rsidRPr="00000000">
        <w:rPr>
          <w:color w:val="ff0000"/>
          <w:sz w:val="24"/>
          <w:szCs w:val="24"/>
          <w:rtl w:val="0"/>
        </w:rPr>
        <w:t xml:space="preserve"> </w:t>
      </w:r>
      <w:r w:rsidDel="00000000" w:rsidR="00000000" w:rsidRPr="00000000">
        <w:rPr>
          <w:sz w:val="24"/>
          <w:szCs w:val="24"/>
          <w:rtl w:val="0"/>
        </w:rPr>
        <w:t xml:space="preserve">Urutkan daftar referensi menurut abjad.</w:t>
      </w:r>
      <w:r w:rsidDel="00000000" w:rsidR="00000000" w:rsidRPr="00000000">
        <w:rPr>
          <w:color w:val="ff0000"/>
          <w:sz w:val="24"/>
          <w:szCs w:val="24"/>
          <w:rtl w:val="0"/>
        </w:rPr>
        <w:t xml:space="preserve"> </w:t>
      </w:r>
      <w:r w:rsidDel="00000000" w:rsidR="00000000" w:rsidRPr="00000000">
        <w:rPr>
          <w:sz w:val="24"/>
          <w:szCs w:val="24"/>
          <w:rtl w:val="0"/>
        </w:rPr>
        <w:t xml:space="preserve">Bila nama penulis diberi artikel seperti kata al-Ghazali, maka huruf awal yang diperhitungkan adalah huruf G. Penulis diharapkan untuk menggunakan perangkat lunak referensi seperti Mendeley, Zotero, dll. Referensi harus terdiri dari 80% sumber utama (missal, artikel jounal) dan diterbitkan setidaknya 10 tahun yang lalu. Di bawah ini bagaimana seharusnya daftar kepustakaan ditulis:</w:t>
      </w:r>
    </w:p>
    <w:p w:rsidR="00000000" w:rsidDel="00000000" w:rsidP="00000000" w:rsidRDefault="00000000" w:rsidRPr="00000000" w14:paraId="0000008E">
      <w:pPr>
        <w:pageBreakBefore w:val="0"/>
        <w:jc w:val="both"/>
        <w:rPr>
          <w:sz w:val="24"/>
          <w:szCs w:val="24"/>
        </w:rPr>
      </w:pPr>
      <w:r w:rsidDel="00000000" w:rsidR="00000000" w:rsidRPr="00000000">
        <w:rPr>
          <w:rtl w:val="0"/>
        </w:rPr>
      </w:r>
    </w:p>
    <w:p w:rsidR="00000000" w:rsidDel="00000000" w:rsidP="00000000" w:rsidRDefault="00000000" w:rsidRPr="00000000" w14:paraId="0000008F">
      <w:pPr>
        <w:pageBreakBefore w:val="0"/>
        <w:ind w:left="851" w:hanging="851"/>
        <w:jc w:val="both"/>
        <w:rPr>
          <w:color w:val="000000"/>
          <w:sz w:val="24"/>
          <w:szCs w:val="24"/>
        </w:rPr>
      </w:pPr>
      <w:r w:rsidDel="00000000" w:rsidR="00000000" w:rsidRPr="00000000">
        <w:rPr>
          <w:color w:val="000000"/>
          <w:sz w:val="24"/>
          <w:szCs w:val="24"/>
          <w:rtl w:val="0"/>
        </w:rPr>
        <w:t xml:space="preserve">E. Palmer, Richard, Hermeneutika: Teori Baru Mengenai Interpretasi, terj. Mansur Hery dan Damanhury Mohammed, Yogyakarta: Pustaka Pelajar, 2005.</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Ibn Katsir, Abu al-Fida Isma’il ibn Umar, Tafsir Ibn Katsir, Dar Ṭaiyibah li al-Nasyr wa al-Tauzī’, 1999), Juz V.</w:t>
      </w:r>
    </w:p>
    <w:p w:rsidR="00000000" w:rsidDel="00000000" w:rsidP="00000000" w:rsidRDefault="00000000" w:rsidRPr="00000000" w14:paraId="00000091">
      <w:pPr>
        <w:pageBreakBefore w:val="0"/>
        <w:ind w:left="851" w:hanging="851"/>
        <w:jc w:val="both"/>
        <w:rPr>
          <w:color w:val="000000"/>
          <w:sz w:val="24"/>
          <w:szCs w:val="24"/>
        </w:rPr>
      </w:pPr>
      <w:r w:rsidDel="00000000" w:rsidR="00000000" w:rsidRPr="00000000">
        <w:rPr>
          <w:color w:val="000000"/>
          <w:sz w:val="24"/>
          <w:szCs w:val="24"/>
          <w:rtl w:val="0"/>
        </w:rPr>
        <w:t xml:space="preserve">Kaelan MS, Kajian Makna Alquran (Suatu Pendekatan Analitika Bahasa), dalam Sahiron Syamsuddin (dkk), Hermeneutika Mazhab Yogya, Yogyakarta: Islamika, 2003)</w:t>
      </w:r>
    </w:p>
    <w:p w:rsidR="00000000" w:rsidDel="00000000" w:rsidP="00000000" w:rsidRDefault="00000000" w:rsidRPr="00000000" w14:paraId="00000092">
      <w:pPr>
        <w:pageBreakBefore w:val="0"/>
        <w:ind w:left="851" w:hanging="851"/>
        <w:jc w:val="both"/>
        <w:rPr>
          <w:color w:val="000000"/>
          <w:sz w:val="24"/>
          <w:szCs w:val="24"/>
        </w:rPr>
      </w:pPr>
      <w:r w:rsidDel="00000000" w:rsidR="00000000" w:rsidRPr="00000000">
        <w:rPr>
          <w:color w:val="000000"/>
          <w:sz w:val="24"/>
          <w:szCs w:val="24"/>
          <w:rtl w:val="0"/>
        </w:rPr>
        <w:t xml:space="preserve">Penggabaean, Syamsu Rizal, Din, Dunya, dan Dakwah, dalam Taufik Abdullah, dkk, (eds), Ensiklopedi Tematis Dunia Islam, Vol, 6, Jakarta: PT Ikhtiar Baru Van Haove, t.th.</w:t>
      </w:r>
    </w:p>
    <w:p w:rsidR="00000000" w:rsidDel="00000000" w:rsidP="00000000" w:rsidRDefault="00000000" w:rsidRPr="00000000" w14:paraId="00000093">
      <w:pPr>
        <w:pageBreakBefore w:val="0"/>
        <w:ind w:left="851" w:hanging="851"/>
        <w:jc w:val="both"/>
        <w:rPr>
          <w:sz w:val="24"/>
          <w:szCs w:val="24"/>
        </w:rPr>
      </w:pPr>
      <w:r w:rsidDel="00000000" w:rsidR="00000000" w:rsidRPr="00000000">
        <w:rPr>
          <w:sz w:val="24"/>
          <w:szCs w:val="24"/>
          <w:rtl w:val="0"/>
        </w:rPr>
        <w:t xml:space="preserve">Al-Shabbagh, Muhammad ibn Luthfi, Lahmat fi Ulum al-Qur’an wa Ittijahat al-Tafsir, Beirut: al-Maktabah al-Islami: 1990</w:t>
      </w:r>
    </w:p>
    <w:p w:rsidR="00000000" w:rsidDel="00000000" w:rsidP="00000000" w:rsidRDefault="00000000" w:rsidRPr="00000000" w14:paraId="00000094">
      <w:pPr>
        <w:pageBreakBefore w:val="0"/>
        <w:ind w:left="851" w:hanging="851"/>
        <w:jc w:val="both"/>
        <w:rPr>
          <w:color w:val="000000"/>
          <w:sz w:val="24"/>
          <w:szCs w:val="24"/>
        </w:rPr>
      </w:pPr>
      <w:r w:rsidDel="00000000" w:rsidR="00000000" w:rsidRPr="00000000">
        <w:rPr>
          <w:rtl w:val="0"/>
        </w:rPr>
      </w:r>
    </w:p>
    <w:p w:rsidR="00000000" w:rsidDel="00000000" w:rsidP="00000000" w:rsidRDefault="00000000" w:rsidRPr="00000000" w14:paraId="00000095">
      <w:pPr>
        <w:pageBreakBefore w:val="0"/>
        <w:ind w:left="851" w:hanging="851"/>
        <w:jc w:val="both"/>
        <w:rPr>
          <w:color w:val="000000"/>
          <w:sz w:val="24"/>
          <w:szCs w:val="24"/>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4" w:w="11909" w:orient="portrait"/>
      <w:pgMar w:bottom="1531" w:top="1418" w:left="1418" w:right="1418" w:header="907"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ageBreakBefore w:val="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A0">
    <w:pPr>
      <w:pageBreakBefore w:val="0"/>
      <w:jc w:val="left"/>
      <w:rPr>
        <w:rFonts w:ascii="Book Antiqua" w:cs="Book Antiqua" w:eastAsia="Book Antiqua" w:hAnsi="Book Antiqua"/>
        <w:b w:val="1"/>
        <w:i w:val="1"/>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Nama Penulis:  Judul Singkat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ageBreakBefore w:val="0"/>
      <w:jc w:val="right"/>
      <w:rPr>
        <w:sz w:val="16"/>
        <w:szCs w:val="16"/>
      </w:rPr>
    </w:pPr>
    <w:r w:rsidDel="00000000" w:rsidR="00000000" w:rsidRPr="00000000">
      <w:rPr>
        <w:rFonts w:ascii="Calibri" w:cs="Calibri" w:eastAsia="Calibri" w:hAnsi="Calibri"/>
        <w:sz w:val="18"/>
        <w:szCs w:val="18"/>
        <w:rtl w:val="0"/>
      </w:rPr>
      <w:t xml:space="preserve">Nama Penulis:  Judul Singkat (Font, Calibri, 9) </w:t>
    </w:r>
    <w:r w:rsidDel="00000000" w:rsidR="00000000" w:rsidRPr="00000000">
      <w:rPr>
        <w:sz w:val="16"/>
        <w:szCs w:val="16"/>
        <w:rtl w:val="0"/>
      </w:rPr>
      <w:t xml:space="preserve">   </w:t>
    </w:r>
    <w:r w:rsidDel="00000000" w:rsidR="00000000" w:rsidRPr="00000000">
      <w:rPr>
        <w:rFonts w:ascii="Balthazar" w:cs="Balthazar" w:eastAsia="Balthazar" w:hAnsi="Balthazar"/>
        <w:b w:val="1"/>
        <w:sz w:val="16"/>
        <w:szCs w:val="16"/>
        <w:rtl w:val="0"/>
      </w:rPr>
      <w:t xml:space="preserve">|</w:t>
    </w:r>
    <w:r w:rsidDel="00000000" w:rsidR="00000000" w:rsidRPr="00000000">
      <w:rPr>
        <w:b w:val="1"/>
        <w:sz w:val="24"/>
        <w:szCs w:val="24"/>
        <w:rtl w:val="0"/>
      </w:rPr>
      <w:t xml:space="preserve"> </w:t>
    </w:r>
    <w:r w:rsidDel="00000000" w:rsidR="00000000" w:rsidRPr="00000000">
      <w:rPr>
        <w:sz w:val="24"/>
        <w:szCs w:val="24"/>
      </w:rPr>
      <w:fldChar w:fldCharType="begin"/>
      <w:instrText xml:space="preserve">PAGE</w:instrText>
      <w:fldChar w:fldCharType="separate"/>
      <w:fldChar w:fldCharType="end"/>
    </w:r>
    <w:r w:rsidDel="00000000" w:rsidR="00000000" w:rsidRPr="00000000">
      <w:rPr>
        <w:sz w:val="16"/>
        <w:szCs w:val="16"/>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Substantia: Jurnal Ilmu-Ilmu Ushuluddin, </w:t>
      <w:tab/>
      <w:tab/>
      <w:t xml:space="preserve">   https://jurnal.ar-raniry.ac.id/index.php/substantia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8789"/>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Volume xx Nomor </w:t>
    </w:r>
    <w:r w:rsidDel="00000000" w:rsidR="00000000" w:rsidRPr="00000000">
      <w:rPr>
        <w:rFonts w:ascii="Calibri" w:cs="Calibri" w:eastAsia="Calibri" w:hAnsi="Calibri"/>
        <w:sz w:val="18"/>
        <w:szCs w:val="18"/>
        <w:rtl w:val="0"/>
      </w:rPr>
      <w:t xml:space="preserve">x</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April 20</w:t>
    </w:r>
    <w:r w:rsidDel="00000000" w:rsidR="00000000" w:rsidRPr="00000000">
      <w:rPr>
        <w:rFonts w:ascii="Calibri" w:cs="Calibri" w:eastAsia="Calibri" w:hAnsi="Calibri"/>
        <w:sz w:val="18"/>
        <w:szCs w:val="18"/>
        <w:rtl w:val="0"/>
      </w:rPr>
      <w:t xml:space="preserve">xx</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pageBreakBefore w:val="0"/>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Substantia: Jurnal Ilmu-Ilmu Ushuluddin, (Font, Calibri, 9)</w:t>
      <w:tab/>
      <w:tab/>
      <w:t xml:space="preserve">   https://jurnal.ar-raniry.ac.id/index.php/substantia</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8789"/>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Volume 22 Nomor 1, April 2020</w:t>
      <w:tab/>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216"/>
      </w:tabs>
      <w:spacing w:after="80" w:before="160" w:lineRule="auto"/>
      <w:ind w:left="0" w:firstLine="216"/>
    </w:pPr>
    <w:rPr>
      <w:smallCaps w:val="1"/>
    </w:rPr>
  </w:style>
  <w:style w:type="paragraph" w:styleId="Heading2">
    <w:name w:val="heading 2"/>
    <w:basedOn w:val="Normal"/>
    <w:next w:val="Normal"/>
    <w:pPr>
      <w:keepNext w:val="1"/>
      <w:keepLines w:val="1"/>
      <w:pageBreakBefore w:val="0"/>
      <w:spacing w:after="60" w:before="120" w:lineRule="auto"/>
      <w:ind w:left="288" w:hanging="288"/>
      <w:jc w:val="left"/>
    </w:pPr>
    <w:rPr>
      <w:i w:val="1"/>
    </w:rPr>
  </w:style>
  <w:style w:type="paragraph" w:styleId="Heading3">
    <w:name w:val="heading 3"/>
    <w:basedOn w:val="Normal"/>
    <w:next w:val="Normal"/>
    <w:pPr>
      <w:pageBreakBefore w:val="0"/>
      <w:spacing w:line="240" w:lineRule="auto"/>
      <w:ind w:left="0" w:firstLine="180"/>
      <w:jc w:val="both"/>
    </w:pPr>
    <w:rPr>
      <w:i w:val="1"/>
    </w:rPr>
  </w:style>
  <w:style w:type="paragraph" w:styleId="Heading4">
    <w:name w:val="heading 4"/>
    <w:basedOn w:val="Normal"/>
    <w:next w:val="Normal"/>
    <w:pPr>
      <w:pageBreakBefore w:val="0"/>
      <w:spacing w:after="40" w:before="40" w:lineRule="auto"/>
      <w:ind w:left="0" w:firstLine="360"/>
      <w:jc w:val="both"/>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904112"/>
    <w:pPr>
      <w:spacing w:after="0" w:line="240" w:lineRule="auto"/>
      <w:jc w:val="center"/>
    </w:pPr>
    <w:rPr>
      <w:rFonts w:ascii="Times New Roman" w:cs="Times New Roman" w:eastAsia="SimSun" w:hAnsi="Times New Roman"/>
      <w:sz w:val="20"/>
      <w:szCs w:val="20"/>
    </w:rPr>
  </w:style>
  <w:style w:type="paragraph" w:styleId="Heading1">
    <w:name w:val="heading 1"/>
    <w:basedOn w:val="Normal"/>
    <w:next w:val="Normal"/>
    <w:link w:val="Heading1Char"/>
    <w:uiPriority w:val="9"/>
    <w:qFormat w:val="1"/>
    <w:rsid w:val="00904112"/>
    <w:pPr>
      <w:keepNext w:val="1"/>
      <w:keepLines w:val="1"/>
      <w:numPr>
        <w:numId w:val="1"/>
      </w:numPr>
      <w:tabs>
        <w:tab w:val="left" w:pos="216"/>
      </w:tabs>
      <w:spacing w:after="80" w:before="160"/>
      <w:outlineLvl w:val="0"/>
    </w:pPr>
    <w:rPr>
      <w:smallCaps w:val="1"/>
      <w:noProof w:val="1"/>
    </w:rPr>
  </w:style>
  <w:style w:type="paragraph" w:styleId="Heading2">
    <w:name w:val="heading 2"/>
    <w:basedOn w:val="Normal"/>
    <w:next w:val="Normal"/>
    <w:link w:val="Heading2Char"/>
    <w:uiPriority w:val="9"/>
    <w:qFormat w:val="1"/>
    <w:rsid w:val="00904112"/>
    <w:pPr>
      <w:keepNext w:val="1"/>
      <w:keepLines w:val="1"/>
      <w:numPr>
        <w:ilvl w:val="1"/>
        <w:numId w:val="1"/>
      </w:numPr>
      <w:spacing w:after="60" w:before="120"/>
      <w:jc w:val="left"/>
      <w:outlineLvl w:val="1"/>
    </w:pPr>
    <w:rPr>
      <w:i w:val="1"/>
      <w:iCs w:val="1"/>
      <w:noProof w:val="1"/>
    </w:rPr>
  </w:style>
  <w:style w:type="paragraph" w:styleId="Heading3">
    <w:name w:val="heading 3"/>
    <w:basedOn w:val="Normal"/>
    <w:next w:val="Normal"/>
    <w:link w:val="Heading3Char"/>
    <w:uiPriority w:val="9"/>
    <w:qFormat w:val="1"/>
    <w:rsid w:val="00904112"/>
    <w:pPr>
      <w:numPr>
        <w:ilvl w:val="2"/>
        <w:numId w:val="1"/>
      </w:numPr>
      <w:spacing w:line="240" w:lineRule="exact"/>
      <w:jc w:val="both"/>
      <w:outlineLvl w:val="2"/>
    </w:pPr>
    <w:rPr>
      <w:i w:val="1"/>
      <w:iCs w:val="1"/>
      <w:noProof w:val="1"/>
    </w:rPr>
  </w:style>
  <w:style w:type="paragraph" w:styleId="Heading4">
    <w:name w:val="heading 4"/>
    <w:basedOn w:val="Normal"/>
    <w:next w:val="Normal"/>
    <w:link w:val="Heading4Char"/>
    <w:uiPriority w:val="9"/>
    <w:qFormat w:val="1"/>
    <w:rsid w:val="00904112"/>
    <w:pPr>
      <w:numPr>
        <w:ilvl w:val="3"/>
        <w:numId w:val="1"/>
      </w:numPr>
      <w:spacing w:after="40" w:before="40"/>
      <w:jc w:val="both"/>
      <w:outlineLvl w:val="3"/>
    </w:pPr>
    <w:rPr>
      <w:i w:val="1"/>
      <w:iCs w:val="1"/>
      <w:noProof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sid w:val="00904112"/>
    <w:rPr>
      <w:rFonts w:ascii="Times New Roman" w:cs="Times New Roman" w:eastAsia="SimSun" w:hAnsi="Times New Roman"/>
      <w:smallCaps w:val="1"/>
      <w:noProof w:val="1"/>
      <w:sz w:val="20"/>
      <w:szCs w:val="20"/>
    </w:rPr>
  </w:style>
  <w:style w:type="character" w:styleId="Heading2Char" w:customStyle="1">
    <w:name w:val="Heading 2 Char"/>
    <w:basedOn w:val="DefaultParagraphFont"/>
    <w:link w:val="Heading2"/>
    <w:uiPriority w:val="9"/>
    <w:locked w:val="1"/>
    <w:rsid w:val="00904112"/>
    <w:rPr>
      <w:rFonts w:ascii="Times New Roman" w:cs="Times New Roman" w:eastAsia="SimSun" w:hAnsi="Times New Roman"/>
      <w:i w:val="1"/>
      <w:iCs w:val="1"/>
      <w:noProof w:val="1"/>
      <w:sz w:val="20"/>
      <w:szCs w:val="20"/>
    </w:rPr>
  </w:style>
  <w:style w:type="character" w:styleId="Heading3Char" w:customStyle="1">
    <w:name w:val="Heading 3 Char"/>
    <w:basedOn w:val="DefaultParagraphFont"/>
    <w:link w:val="Heading3"/>
    <w:uiPriority w:val="9"/>
    <w:locked w:val="1"/>
    <w:rsid w:val="00904112"/>
    <w:rPr>
      <w:rFonts w:ascii="Times New Roman" w:cs="Times New Roman" w:eastAsia="SimSun" w:hAnsi="Times New Roman"/>
      <w:i w:val="1"/>
      <w:iCs w:val="1"/>
      <w:noProof w:val="1"/>
      <w:sz w:val="20"/>
      <w:szCs w:val="20"/>
    </w:rPr>
  </w:style>
  <w:style w:type="character" w:styleId="Heading4Char" w:customStyle="1">
    <w:name w:val="Heading 4 Char"/>
    <w:basedOn w:val="DefaultParagraphFont"/>
    <w:link w:val="Heading4"/>
    <w:uiPriority w:val="9"/>
    <w:locked w:val="1"/>
    <w:rsid w:val="00904112"/>
    <w:rPr>
      <w:rFonts w:ascii="Times New Roman" w:cs="Times New Roman" w:eastAsia="SimSun" w:hAnsi="Times New Roman"/>
      <w:i w:val="1"/>
      <w:iCs w:val="1"/>
      <w:noProof w:val="1"/>
      <w:sz w:val="20"/>
      <w:szCs w:val="20"/>
    </w:rPr>
  </w:style>
  <w:style w:type="paragraph" w:styleId="Affiliation" w:customStyle="1">
    <w:name w:val="Affiliation"/>
    <w:rsid w:val="00904112"/>
    <w:pPr>
      <w:spacing w:after="0" w:line="240" w:lineRule="auto"/>
      <w:jc w:val="center"/>
    </w:pPr>
    <w:rPr>
      <w:rFonts w:ascii="Times New Roman" w:cs="Times New Roman" w:eastAsia="SimSun" w:hAnsi="Times New Roman"/>
      <w:sz w:val="20"/>
      <w:szCs w:val="20"/>
    </w:rPr>
  </w:style>
  <w:style w:type="paragraph" w:styleId="BodyText">
    <w:name w:val="Body Text"/>
    <w:basedOn w:val="Normal"/>
    <w:link w:val="BodyTextChar"/>
    <w:uiPriority w:val="99"/>
    <w:rsid w:val="00904112"/>
    <w:pPr>
      <w:spacing w:line="360" w:lineRule="auto"/>
      <w:ind w:firstLine="289"/>
      <w:jc w:val="both"/>
    </w:pPr>
    <w:rPr>
      <w:spacing w:val="-1"/>
    </w:rPr>
  </w:style>
  <w:style w:type="character" w:styleId="BodyTextChar" w:customStyle="1">
    <w:name w:val="Body Text Char"/>
    <w:basedOn w:val="DefaultParagraphFont"/>
    <w:link w:val="BodyText"/>
    <w:uiPriority w:val="99"/>
    <w:locked w:val="1"/>
    <w:rsid w:val="00904112"/>
    <w:rPr>
      <w:rFonts w:ascii="Times New Roman" w:cs="Times New Roman" w:eastAsia="SimSun" w:hAnsi="Times New Roman"/>
      <w:sz w:val="20"/>
      <w:szCs w:val="20"/>
    </w:rPr>
  </w:style>
  <w:style w:type="paragraph" w:styleId="tablecolhead" w:customStyle="1">
    <w:name w:val="table col head"/>
    <w:basedOn w:val="Normal"/>
    <w:rsid w:val="00904112"/>
    <w:rPr>
      <w:b w:val="1"/>
      <w:bCs w:val="1"/>
      <w:sz w:val="16"/>
      <w:szCs w:val="16"/>
    </w:rPr>
  </w:style>
  <w:style w:type="paragraph" w:styleId="tablecolsubhead" w:customStyle="1">
    <w:name w:val="table col subhead"/>
    <w:basedOn w:val="tablecolhead"/>
    <w:rsid w:val="00904112"/>
    <w:rPr>
      <w:i w:val="1"/>
      <w:iCs w:val="1"/>
      <w:sz w:val="15"/>
      <w:szCs w:val="15"/>
    </w:rPr>
  </w:style>
  <w:style w:type="paragraph" w:styleId="tablecopy" w:customStyle="1">
    <w:name w:val="table copy"/>
    <w:rsid w:val="00904112"/>
    <w:pPr>
      <w:spacing w:after="0" w:line="240" w:lineRule="auto"/>
      <w:jc w:val="both"/>
    </w:pPr>
    <w:rPr>
      <w:rFonts w:ascii="Times New Roman" w:cs="Times New Roman" w:eastAsia="SimSun" w:hAnsi="Times New Roman"/>
      <w:noProof w:val="1"/>
      <w:sz w:val="16"/>
      <w:szCs w:val="16"/>
    </w:rPr>
  </w:style>
  <w:style w:type="paragraph" w:styleId="tablefootnote" w:customStyle="1">
    <w:name w:val="table footnote"/>
    <w:rsid w:val="00904112"/>
    <w:pPr>
      <w:spacing w:after="30" w:before="60" w:line="240" w:lineRule="auto"/>
      <w:jc w:val="right"/>
    </w:pPr>
    <w:rPr>
      <w:rFonts w:ascii="Times New Roman" w:cs="Times New Roman" w:eastAsia="SimSun" w:hAnsi="Times New Roman"/>
      <w:sz w:val="12"/>
      <w:szCs w:val="12"/>
    </w:rPr>
  </w:style>
  <w:style w:type="paragraph" w:styleId="Header">
    <w:name w:val="header"/>
    <w:basedOn w:val="Normal"/>
    <w:link w:val="HeaderChar"/>
    <w:uiPriority w:val="99"/>
    <w:rsid w:val="00904112"/>
    <w:pPr>
      <w:tabs>
        <w:tab w:val="center" w:pos="4513"/>
        <w:tab w:val="right" w:pos="9026"/>
      </w:tabs>
    </w:pPr>
  </w:style>
  <w:style w:type="character" w:styleId="HeaderChar" w:customStyle="1">
    <w:name w:val="Header Char"/>
    <w:basedOn w:val="DefaultParagraphFont"/>
    <w:link w:val="Header"/>
    <w:uiPriority w:val="99"/>
    <w:locked w:val="1"/>
    <w:rsid w:val="00904112"/>
    <w:rPr>
      <w:rFonts w:ascii="Times New Roman" w:cs="Times New Roman" w:eastAsia="SimSun" w:hAnsi="Times New Roman"/>
      <w:sz w:val="20"/>
      <w:szCs w:val="20"/>
    </w:rPr>
  </w:style>
  <w:style w:type="paragraph" w:styleId="Footer">
    <w:name w:val="footer"/>
    <w:basedOn w:val="Normal"/>
    <w:link w:val="FooterChar"/>
    <w:uiPriority w:val="99"/>
    <w:rsid w:val="00904112"/>
    <w:pPr>
      <w:tabs>
        <w:tab w:val="center" w:pos="4513"/>
        <w:tab w:val="right" w:pos="9026"/>
      </w:tabs>
    </w:pPr>
  </w:style>
  <w:style w:type="character" w:styleId="FooterChar" w:customStyle="1">
    <w:name w:val="Footer Char"/>
    <w:basedOn w:val="DefaultParagraphFont"/>
    <w:link w:val="Footer"/>
    <w:uiPriority w:val="99"/>
    <w:locked w:val="1"/>
    <w:rsid w:val="00904112"/>
    <w:rPr>
      <w:rFonts w:ascii="Times New Roman" w:cs="Times New Roman" w:eastAsia="SimSun" w:hAnsi="Times New Roman"/>
      <w:sz w:val="20"/>
      <w:szCs w:val="20"/>
    </w:rPr>
  </w:style>
  <w:style w:type="paragraph" w:styleId="Stylepapertitle14pt" w:customStyle="1">
    <w:name w:val="Style paper title + 14 pt"/>
    <w:basedOn w:val="Normal"/>
    <w:rsid w:val="00904112"/>
    <w:pPr>
      <w:spacing w:after="120"/>
    </w:pPr>
    <w:rPr>
      <w:rFonts w:eastAsia="MS Mincho"/>
      <w:noProof w:val="1"/>
      <w:sz w:val="24"/>
      <w:szCs w:val="48"/>
    </w:rPr>
  </w:style>
  <w:style w:type="paragraph" w:styleId="StyleAuthorBold" w:customStyle="1">
    <w:name w:val="Style Author + Bold"/>
    <w:basedOn w:val="Normal"/>
    <w:rsid w:val="00904112"/>
    <w:pPr>
      <w:spacing w:after="40" w:before="240"/>
    </w:pPr>
    <w:rPr>
      <w:b w:val="1"/>
      <w:bCs w:val="1"/>
      <w:noProof w:val="1"/>
      <w:sz w:val="22"/>
      <w:szCs w:val="22"/>
    </w:rPr>
  </w:style>
  <w:style w:type="paragraph" w:styleId="Afiliasi" w:customStyle="1">
    <w:name w:val="Afiliasi"/>
    <w:basedOn w:val="Normal"/>
    <w:qFormat w:val="1"/>
    <w:rsid w:val="00904112"/>
    <w:pPr>
      <w:spacing w:after="40" w:before="40"/>
      <w:contextualSpacing w:val="1"/>
    </w:pPr>
    <w:rPr>
      <w:noProof w:val="1"/>
      <w:lang w:val="id-ID"/>
    </w:rPr>
  </w:style>
  <w:style w:type="paragraph" w:styleId="abstrak" w:customStyle="1">
    <w:name w:val="abstrak"/>
    <w:basedOn w:val="BodyText"/>
    <w:qFormat w:val="1"/>
    <w:rsid w:val="00904112"/>
    <w:pPr>
      <w:spacing w:line="240" w:lineRule="auto"/>
      <w:ind w:left="567" w:right="567" w:firstLine="0"/>
    </w:pPr>
    <w:rPr>
      <w:szCs w:val="24"/>
    </w:rPr>
  </w:style>
  <w:style w:type="character" w:styleId="Hyperlink">
    <w:name w:val="Hyperlink"/>
    <w:basedOn w:val="DefaultParagraphFont"/>
    <w:uiPriority w:val="99"/>
    <w:unhideWhenUsed w:val="1"/>
    <w:rsid w:val="00904112"/>
    <w:rPr>
      <w:rFonts w:cs="Times New Roman"/>
      <w:color w:val="0000ff"/>
      <w:u w:val="single"/>
    </w:rPr>
  </w:style>
  <w:style w:type="paragraph" w:styleId="DaftarPustaka" w:customStyle="1">
    <w:name w:val="Daftar Pustaka"/>
    <w:basedOn w:val="Title"/>
    <w:qFormat w:val="1"/>
    <w:rsid w:val="00904112"/>
    <w:pPr>
      <w:pBdr>
        <w:bottom w:color="auto" w:space="0" w:sz="0" w:val="none"/>
      </w:pBdr>
      <w:spacing w:after="120" w:before="120"/>
      <w:ind w:left="284" w:hanging="284"/>
      <w:contextualSpacing w:val="0"/>
      <w:jc w:val="both"/>
    </w:pPr>
    <w:rPr>
      <w:rFonts w:ascii="Times New Roman" w:eastAsia="Times New Roman" w:hAnsi="Times New Roman"/>
      <w:noProof w:val="1"/>
      <w:color w:val="auto"/>
      <w:spacing w:val="0"/>
      <w:kern w:val="0"/>
      <w:sz w:val="20"/>
      <w:szCs w:val="24"/>
    </w:rPr>
  </w:style>
  <w:style w:type="paragraph" w:styleId="Title">
    <w:name w:val="Title"/>
    <w:basedOn w:val="Normal"/>
    <w:next w:val="Normal"/>
    <w:link w:val="TitleChar"/>
    <w:uiPriority w:val="10"/>
    <w:qFormat w:val="1"/>
    <w:rsid w:val="00904112"/>
    <w:pPr>
      <w:pBdr>
        <w:bottom w:color="4f81bd" w:space="4" w:sz="8" w:themeColor="accent1" w:val="single"/>
      </w:pBdr>
      <w:spacing w:after="300"/>
      <w:contextualSpacing w:val="1"/>
    </w:pPr>
    <w:rPr>
      <w:rFonts w:asciiTheme="majorHAns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locked w:val="1"/>
    <w:rsid w:val="00904112"/>
    <w:rPr>
      <w:rFonts w:cs="Times New Roman" w:asciiTheme="majorHAnsi" w:eastAsiaTheme="majorEastAsia" w:hAnsiTheme="majorHAnsi"/>
      <w:color w:val="17365d" w:themeColor="text2" w:themeShade="0000BF"/>
      <w:spacing w:val="5"/>
      <w:kern w:val="28"/>
      <w:sz w:val="52"/>
      <w:szCs w:val="52"/>
    </w:rPr>
  </w:style>
  <w:style w:type="paragraph" w:styleId="FootnoteText">
    <w:name w:val="footnote text"/>
    <w:basedOn w:val="Normal"/>
    <w:link w:val="FootnoteTextChar"/>
    <w:uiPriority w:val="99"/>
    <w:unhideWhenUsed w:val="1"/>
    <w:rsid w:val="00904112"/>
    <w:pPr>
      <w:jc w:val="left"/>
    </w:pPr>
    <w:rPr>
      <w:rFonts w:ascii="Calibri" w:eastAsia="Times New Roman" w:hAnsi="Calibri"/>
    </w:rPr>
  </w:style>
  <w:style w:type="character" w:styleId="FootnoteTextChar" w:customStyle="1">
    <w:name w:val="Footnote Text Char"/>
    <w:basedOn w:val="DefaultParagraphFont"/>
    <w:link w:val="FootnoteText"/>
    <w:uiPriority w:val="99"/>
    <w:locked w:val="1"/>
    <w:rsid w:val="00904112"/>
    <w:rPr>
      <w:rFonts w:ascii="Calibri" w:cs="Times New Roman" w:hAnsi="Calibri"/>
      <w:sz w:val="20"/>
      <w:szCs w:val="20"/>
    </w:rPr>
  </w:style>
  <w:style w:type="character" w:styleId="FootnoteReference">
    <w:name w:val="footnote reference"/>
    <w:basedOn w:val="DefaultParagraphFont"/>
    <w:uiPriority w:val="99"/>
    <w:unhideWhenUsed w:val="1"/>
    <w:rsid w:val="00904112"/>
    <w:rPr>
      <w:rFonts w:cs="Times New Roman"/>
      <w:vertAlign w:val="superscript"/>
    </w:rPr>
  </w:style>
  <w:style w:type="paragraph" w:styleId="ListParagraph">
    <w:name w:val="List Paragraph"/>
    <w:basedOn w:val="Normal"/>
    <w:uiPriority w:val="34"/>
    <w:qFormat w:val="1"/>
    <w:rsid w:val="00904112"/>
    <w:pPr>
      <w:spacing w:after="200" w:line="276" w:lineRule="auto"/>
      <w:ind w:left="720"/>
      <w:contextualSpacing w:val="1"/>
      <w:jc w:val="left"/>
    </w:pPr>
    <w:rPr>
      <w:rFonts w:ascii="Calibri" w:cs="Arial" w:eastAsia="Times New Roman" w:hAnsi="Calibri"/>
      <w:sz w:val="22"/>
      <w:szCs w:val="22"/>
      <w:lang w:val="id-ID"/>
    </w:rPr>
  </w:style>
  <w:style w:type="paragraph" w:styleId="Default" w:customStyle="1">
    <w:name w:val="Default"/>
    <w:rsid w:val="00904112"/>
    <w:pPr>
      <w:autoSpaceDE w:val="0"/>
      <w:autoSpaceDN w:val="0"/>
      <w:adjustRightInd w:val="0"/>
      <w:spacing w:after="0" w:line="240" w:lineRule="auto"/>
    </w:pPr>
    <w:rPr>
      <w:rFonts w:ascii="Book Antiqua" w:cs="Book Antiqua" w:hAnsi="Book Antiqua"/>
      <w:color w:val="000000"/>
      <w:sz w:val="24"/>
      <w:szCs w:val="24"/>
      <w:lang w:val="id-ID"/>
    </w:rPr>
  </w:style>
  <w:style w:type="table" w:styleId="TableGrid">
    <w:name w:val="Table Grid"/>
    <w:basedOn w:val="TableNormal"/>
    <w:uiPriority w:val="59"/>
    <w:rsid w:val="00904112"/>
    <w:pPr>
      <w:spacing w:after="0" w:line="240" w:lineRule="auto"/>
    </w:pPr>
    <w:rPr>
      <w:rFonts w:ascii="Times New Roman" w:cs="Times New Roman" w:hAnsi="Times New Roman"/>
      <w:sz w:val="24"/>
      <w:szCs w:val="24"/>
      <w:lang w:eastAsia="id-ID" w:val="id-ID"/>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a3" w:customStyle="1">
    <w:name w:val="Pa3"/>
    <w:basedOn w:val="Normal"/>
    <w:next w:val="Normal"/>
    <w:uiPriority w:val="99"/>
    <w:rsid w:val="00904112"/>
    <w:pPr>
      <w:autoSpaceDE w:val="0"/>
      <w:autoSpaceDN w:val="0"/>
      <w:adjustRightInd w:val="0"/>
      <w:spacing w:line="241" w:lineRule="atLeast"/>
      <w:jc w:val="left"/>
    </w:pPr>
    <w:rPr>
      <w:rFonts w:ascii="Jamia" w:cs="Arial" w:eastAsia="Times New Roman" w:hAnsi="Jamia"/>
      <w:sz w:val="24"/>
      <w:szCs w:val="24"/>
      <w:lang w:val="id-ID"/>
    </w:rPr>
  </w:style>
  <w:style w:type="character" w:styleId="notranslate" w:customStyle="1">
    <w:name w:val="notranslate"/>
    <w:basedOn w:val="DefaultParagraphFont"/>
    <w:rsid w:val="00904112"/>
    <w:rPr>
      <w:rFonts w:cs="Times New Roman"/>
    </w:rPr>
  </w:style>
  <w:style w:type="paragraph" w:styleId="HTMLPreformatted">
    <w:name w:val="HTML Preformatted"/>
    <w:basedOn w:val="Normal"/>
    <w:link w:val="HTMLPreformattedChar"/>
    <w:uiPriority w:val="99"/>
    <w:unhideWhenUsed w:val="1"/>
    <w:rsid w:val="00904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eastAsia="Times New Roman" w:hAnsi="Courier New"/>
      <w:lang w:eastAsia="id-ID" w:val="id-ID"/>
    </w:rPr>
  </w:style>
  <w:style w:type="character" w:styleId="HTMLPreformattedChar" w:customStyle="1">
    <w:name w:val="HTML Preformatted Char"/>
    <w:basedOn w:val="DefaultParagraphFont"/>
    <w:link w:val="HTMLPreformatted"/>
    <w:uiPriority w:val="99"/>
    <w:locked w:val="1"/>
    <w:rsid w:val="00904112"/>
    <w:rPr>
      <w:rFonts w:ascii="Courier New" w:cs="Courier New" w:hAnsi="Courier New"/>
      <w:sz w:val="20"/>
      <w:szCs w:val="20"/>
      <w:lang w:eastAsia="id-ID" w:val="id-ID"/>
    </w:rPr>
  </w:style>
  <w:style w:type="character" w:styleId="Emphasis">
    <w:name w:val="Emphasis"/>
    <w:basedOn w:val="DefaultParagraphFont"/>
    <w:uiPriority w:val="20"/>
    <w:qFormat w:val="1"/>
    <w:rsid w:val="00904112"/>
    <w:rPr>
      <w:rFonts w:cs="Times New Roman"/>
      <w:i w:val="1"/>
      <w:iCs w:val="1"/>
    </w:rPr>
  </w:style>
  <w:style w:type="paragraph" w:styleId="EndnoteText">
    <w:name w:val="endnote text"/>
    <w:basedOn w:val="Normal"/>
    <w:link w:val="EndnoteTextChar"/>
    <w:uiPriority w:val="99"/>
    <w:semiHidden w:val="1"/>
    <w:unhideWhenUsed w:val="1"/>
    <w:rsid w:val="008851D8"/>
  </w:style>
  <w:style w:type="character" w:styleId="EndnoteTextChar" w:customStyle="1">
    <w:name w:val="Endnote Text Char"/>
    <w:basedOn w:val="DefaultParagraphFont"/>
    <w:link w:val="EndnoteText"/>
    <w:uiPriority w:val="99"/>
    <w:semiHidden w:val="1"/>
    <w:locked w:val="1"/>
    <w:rsid w:val="008851D8"/>
    <w:rPr>
      <w:rFonts w:ascii="Times New Roman" w:cs="Times New Roman" w:eastAsia="SimSun" w:hAnsi="Times New Roman"/>
      <w:sz w:val="20"/>
      <w:szCs w:val="20"/>
    </w:rPr>
  </w:style>
  <w:style w:type="character" w:styleId="EndnoteReference">
    <w:name w:val="endnote reference"/>
    <w:basedOn w:val="DefaultParagraphFont"/>
    <w:uiPriority w:val="99"/>
    <w:semiHidden w:val="1"/>
    <w:unhideWhenUsed w:val="1"/>
    <w:rsid w:val="008851D8"/>
    <w:rPr>
      <w:rFonts w:cs="Times New Roman"/>
      <w:vertAlign w:val="superscript"/>
    </w:rPr>
  </w:style>
  <w:style w:type="paragraph" w:styleId="Bibliography">
    <w:name w:val="Bibliography"/>
    <w:basedOn w:val="Normal"/>
    <w:next w:val="Normal"/>
    <w:uiPriority w:val="37"/>
    <w:unhideWhenUsed w:val="1"/>
    <w:rsid w:val="00BC5561"/>
    <w:pPr>
      <w:ind w:left="720" w:hanging="720"/>
    </w:pPr>
  </w:style>
  <w:style w:type="paragraph" w:styleId="BalloonText">
    <w:name w:val="Balloon Text"/>
    <w:basedOn w:val="Normal"/>
    <w:link w:val="BalloonTextChar"/>
    <w:uiPriority w:val="99"/>
    <w:semiHidden w:val="1"/>
    <w:unhideWhenUsed w:val="1"/>
    <w:rsid w:val="005A4951"/>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5A4951"/>
    <w:rPr>
      <w:rFonts w:ascii="Tahoma" w:cs="Tahoma" w:eastAsia="SimSun" w:hAnsi="Tahoma"/>
      <w:sz w:val="16"/>
      <w:szCs w:val="16"/>
    </w:rPr>
  </w:style>
  <w:style w:type="character" w:styleId="i" w:customStyle="1">
    <w:name w:val="i"/>
    <w:basedOn w:val="DefaultParagraphFont"/>
    <w:rsid w:val="00D55D07"/>
  </w:style>
  <w:style w:type="paragraph" w:styleId="sb1f" w:customStyle="1">
    <w:name w:val="sb1f"/>
    <w:basedOn w:val="Normal"/>
    <w:rsid w:val="00D55D07"/>
    <w:pPr>
      <w:spacing w:after="100" w:afterAutospacing="1" w:before="100" w:beforeAutospacing="1"/>
      <w:jc w:val="left"/>
    </w:pPr>
    <w:rPr>
      <w:rFonts w:eastAsia="Times New Roman"/>
      <w:sz w:val="24"/>
      <w:szCs w:val="24"/>
    </w:rPr>
  </w:style>
  <w:style w:type="paragraph" w:styleId="sbulf" w:customStyle="1">
    <w:name w:val="sbulf"/>
    <w:basedOn w:val="Normal"/>
    <w:rsid w:val="00D55D07"/>
    <w:pPr>
      <w:spacing w:after="100" w:afterAutospacing="1" w:before="100" w:beforeAutospacing="1"/>
      <w:jc w:val="left"/>
    </w:pPr>
    <w:rPr>
      <w:rFonts w:eastAsia="Times New Roman"/>
      <w:sz w:val="24"/>
      <w:szCs w:val="24"/>
    </w:rPr>
  </w:style>
  <w:style w:type="paragraph" w:styleId="sb1" w:customStyle="1">
    <w:name w:val="sb1"/>
    <w:basedOn w:val="Normal"/>
    <w:rsid w:val="00D55D07"/>
    <w:pPr>
      <w:spacing w:after="100" w:afterAutospacing="1" w:before="100" w:beforeAutospacing="1"/>
      <w:jc w:val="left"/>
    </w:pPr>
    <w:rPr>
      <w:rFonts w:eastAsia="Times New Roman"/>
      <w:sz w:val="24"/>
      <w:szCs w:val="24"/>
    </w:rPr>
  </w:style>
  <w:style w:type="paragraph" w:styleId="sbul" w:customStyle="1">
    <w:name w:val="sbul"/>
    <w:basedOn w:val="Normal"/>
    <w:rsid w:val="00D55D07"/>
    <w:pPr>
      <w:spacing w:after="100" w:afterAutospacing="1" w:before="100" w:beforeAutospacing="1"/>
      <w:jc w:val="left"/>
    </w:pPr>
    <w:rPr>
      <w:rFonts w:eastAsia="Times New Roman"/>
      <w:sz w:val="24"/>
      <w:szCs w:val="24"/>
    </w:rPr>
  </w:style>
  <w:style w:type="paragraph" w:styleId="sbull" w:customStyle="1">
    <w:name w:val="sbull"/>
    <w:basedOn w:val="Normal"/>
    <w:rsid w:val="00D55D07"/>
    <w:pPr>
      <w:spacing w:after="100" w:afterAutospacing="1" w:before="100" w:beforeAutospacing="1"/>
      <w:jc w:val="left"/>
    </w:pPr>
    <w:rPr>
      <w:rFonts w:eastAsia="Times New Roman"/>
      <w:sz w:val="24"/>
      <w:szCs w:val="24"/>
    </w:rPr>
  </w:style>
  <w:style w:type="table" w:styleId="PlainTable2">
    <w:name w:val="Plain Table 2"/>
    <w:basedOn w:val="TableNormal"/>
    <w:uiPriority w:val="42"/>
    <w:rsid w:val="00D55D07"/>
    <w:pPr>
      <w:spacing w:after="0" w:line="240" w:lineRule="auto"/>
    </w:pPr>
    <w:rPr>
      <w:rFonts w:cstheme="minorBidi" w:eastAsiaTheme="minorEastAsia"/>
      <w:lang w:eastAsia="id-ID" w:val="id-ID"/>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ted.com/talks/katie_bouman_what_does_a_black_hole_look_like" TargetMode="External"/><Relationship Id="rId10" Type="http://schemas.openxmlformats.org/officeDocument/2006/relationships/hyperlink" Target="https://www.yale.edu/about-yale/yale-fact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policies/privacy/"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hyperlink" Target="https://www.chicagomanualofstyle.org/tools_citationguide/citation-guide-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spPr>
            <a:ln w="19050" cap="rnd" cmpd="sng" algn="ctr">
              <a:solidFill>
                <a:schemeClr val="accent3"/>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Sheet1!$A$1:$A$5</c:f>
              <c:strCache>
                <c:ptCount val="5"/>
                <c:pt idx="0">
                  <c:v>2014/2015</c:v>
                </c:pt>
                <c:pt idx="1">
                  <c:v>2015/2016</c:v>
                </c:pt>
                <c:pt idx="2">
                  <c:v>2016/2017</c:v>
                </c:pt>
                <c:pt idx="3">
                  <c:v>2017/2018</c:v>
                </c:pt>
                <c:pt idx="4">
                  <c:v>2018/2019</c:v>
                </c:pt>
              </c:strCache>
            </c:strRef>
          </c:cat>
          <c:val>
            <c:numRef>
              <c:f>Sheet1!$B$1:$B$5</c:f>
              <c:numCache>
                <c:formatCode>0.00%</c:formatCode>
                <c:ptCount val="5"/>
                <c:pt idx="0">
                  <c:v>0.17640000000000025</c:v>
                </c:pt>
                <c:pt idx="1">
                  <c:v>0.18910000000000021</c:v>
                </c:pt>
                <c:pt idx="2">
                  <c:v>9.6700000000000022E-2</c:v>
                </c:pt>
                <c:pt idx="3">
                  <c:v>9.0900000000000022E-2</c:v>
                </c:pt>
                <c:pt idx="4" formatCode="0%">
                  <c:v>7.690000000000001E-2</c:v>
                </c:pt>
              </c:numCache>
            </c:numRef>
          </c:val>
          <c:smooth val="0"/>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0-B4C0-4804-9929-676DC3FFA7AA}"/>
            </c:ext>
          </c:extLst>
        </c:ser>
        <c:dLbls>
          <c:dLblPos val="t"/>
          <c:showLegendKey val="0"/>
          <c:showVal val="1"/>
          <c:showCatName val="0"/>
          <c:showSerName val="0"/>
          <c:showPercent val="0"/>
          <c:showBubbleSize val="0"/>
        </c:dLbls>
        <c:smooth val="0"/>
        <c:axId val="128435328"/>
        <c:axId val="128436864"/>
      </c:lineChart>
      <c:catAx>
        <c:axId val="12843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436864"/>
        <c:crosses val="autoZero"/>
        <c:auto val="1"/>
        <c:lblAlgn val="ctr"/>
        <c:lblOffset val="100"/>
        <c:noMultiLvlLbl val="0"/>
      </c:catAx>
      <c:valAx>
        <c:axId val="1284368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43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KBEBe0JHSlC60/ZV8vuZmvD6g==">CgMxLjAyCGguZ2pkZ3hzOAByITFROGJ0eVRxTVE4enNWeVNrOERiZENLdnFreXRaZ2NzQw==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2020-07-16T01:35:00Z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id="ieBk432v"/&gt;&lt;style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