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8504"/>
        </w:tabs>
        <w:spacing w:after="0" w:line="360" w:lineRule="auto"/>
        <w:ind w:right="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TAFSE: JOURNAL OF QURANIC STUDIES</w:t>
      </w:r>
    </w:p>
    <w:p w:rsidR="00000000" w:rsidDel="00000000" w:rsidP="00000000" w:rsidRDefault="00000000" w:rsidRPr="00000000" w14:paraId="00000002">
      <w:pPr>
        <w:widowControl w:val="0"/>
        <w:tabs>
          <w:tab w:val="left" w:leader="none" w:pos="8504"/>
        </w:tabs>
        <w:spacing w:after="0" w:line="360" w:lineRule="auto"/>
        <w:ind w:right="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widowControl w:val="0"/>
        <w:tabs>
          <w:tab w:val="left" w:leader="none" w:pos="8504"/>
        </w:tabs>
        <w:spacing w:after="0" w:line="360" w:lineRule="auto"/>
        <w:ind w:right="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Penulisan Artikel</w:t>
      </w:r>
      <w:r w:rsidDel="00000000" w:rsidR="00000000" w:rsidRPr="00000000">
        <w:rPr>
          <w:rtl w:val="0"/>
        </w:rPr>
      </w:r>
    </w:p>
    <w:p w:rsidR="00000000" w:rsidDel="00000000" w:rsidP="00000000" w:rsidRDefault="00000000" w:rsidRPr="00000000" w14:paraId="00000004">
      <w:pPr>
        <w:widowControl w:val="0"/>
        <w:spacing w:after="0" w:line="360" w:lineRule="auto"/>
        <w:rPr>
          <w:rFonts w:ascii="Times New Roman" w:cs="Times New Roman" w:eastAsia="Times New Roman" w:hAnsi="Times New Roman"/>
          <w:color w:val="000000"/>
          <w:sz w:val="12"/>
          <w:szCs w:val="12"/>
        </w:rPr>
      </w:pPr>
      <w:r w:rsidDel="00000000" w:rsidR="00000000" w:rsidRPr="00000000">
        <w:rPr>
          <w:rtl w:val="0"/>
        </w:rPr>
      </w:r>
    </w:p>
    <w:p w:rsidR="00000000" w:rsidDel="00000000" w:rsidP="00000000" w:rsidRDefault="00000000" w:rsidRPr="00000000" w14:paraId="00000005">
      <w:pPr>
        <w:widowControl w:val="0"/>
        <w:spacing w:after="0" w:line="360" w:lineRule="auto"/>
        <w:ind w:right="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Artikel diketik dengan menggunakan jenis font Times New Roman ukuran 12 untuk teks beraksara latin dan font Tradisional Arabic ukuran 16 untuk teks yang beraksara Arab. Pengetikan menggunakan  Microsoft  Word dalam  format  doc atau docs,  spasi  1,5  (satu  setengah), dengan margin 3 cm (atas, bawah, kiri dan kanan). </w:t>
      </w:r>
    </w:p>
    <w:p w:rsidR="00000000" w:rsidDel="00000000" w:rsidP="00000000" w:rsidRDefault="00000000" w:rsidRPr="00000000" w14:paraId="00000006">
      <w:pPr>
        <w:widowControl w:val="0"/>
        <w:spacing w:after="0" w:line="360" w:lineRule="auto"/>
        <w:ind w:right="8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widowControl w:val="0"/>
        <w:spacing w:after="0" w:line="360" w:lineRule="auto"/>
        <w:ind w:right="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Panjang artikel berkisar antara 3000 – 6000 kata dengan ukuran kertas A4 (21 cm x 29,7 cm).</w:t>
      </w:r>
    </w:p>
    <w:p w:rsidR="00000000" w:rsidDel="00000000" w:rsidP="00000000" w:rsidRDefault="00000000" w:rsidRPr="00000000" w14:paraId="00000008">
      <w:pPr>
        <w:spacing w:after="0" w:line="360" w:lineRule="auto"/>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ARTICLE TEMPLATE</w:t>
      </w:r>
    </w:p>
    <w:p w:rsidR="00000000" w:rsidDel="00000000" w:rsidP="00000000" w:rsidRDefault="00000000" w:rsidRPr="00000000" w14:paraId="0000000A">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sz w:val="24"/>
          <w:szCs w:val="24"/>
        </w:rPr>
      </w:pPr>
      <w:r w:rsidDel="00000000" w:rsidR="00000000" w:rsidRPr="00000000">
        <w:rPr>
          <w:sz w:val="24"/>
          <w:szCs w:val="24"/>
          <w:rtl w:val="0"/>
        </w:rPr>
        <w:t xml:space="preserve">Judul Artikel</w:t>
      </w:r>
    </w:p>
    <w:p w:rsidR="00000000" w:rsidDel="00000000" w:rsidP="00000000" w:rsidRDefault="00000000" w:rsidRPr="00000000" w14:paraId="0000000C">
      <w:pPr>
        <w:spacing w:after="0" w:line="240" w:lineRule="auto"/>
        <w:jc w:val="center"/>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Judul maksimal 15 kata, huruf Time New Roman 12 pt, di tengah, bold</w:t>
      </w:r>
      <w:r w:rsidDel="00000000" w:rsidR="00000000" w:rsidRPr="00000000">
        <w:rPr>
          <w:sz w:val="24"/>
          <w:szCs w:val="24"/>
          <w:rtl w:val="0"/>
        </w:rPr>
        <w:t xml:space="preserve">)</w:t>
      </w:r>
    </w:p>
    <w:p w:rsidR="00000000" w:rsidDel="00000000" w:rsidP="00000000" w:rsidRDefault="00000000" w:rsidRPr="00000000" w14:paraId="0000000D">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sz w:val="24"/>
          <w:szCs w:val="24"/>
        </w:rPr>
      </w:pPr>
      <w:r w:rsidDel="00000000" w:rsidR="00000000" w:rsidRPr="00000000">
        <w:rPr>
          <w:sz w:val="24"/>
          <w:szCs w:val="24"/>
          <w:rtl w:val="0"/>
        </w:rPr>
        <w:t xml:space="preserve">Penulis </w:t>
      </w:r>
    </w:p>
    <w:p w:rsidR="00000000" w:rsidDel="00000000" w:rsidP="00000000" w:rsidRDefault="00000000" w:rsidRPr="00000000" w14:paraId="0000000F">
      <w:pPr>
        <w:spacing w:after="0" w:line="240" w:lineRule="auto"/>
        <w:jc w:val="center"/>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Penulis ditulis dengan huruf Time New Roman 12 pt, di tengah, bold, tanpa titel akademik</w:t>
      </w:r>
      <w:r w:rsidDel="00000000" w:rsidR="00000000" w:rsidRPr="00000000">
        <w:rPr>
          <w:sz w:val="24"/>
          <w:szCs w:val="24"/>
          <w:rtl w:val="0"/>
        </w:rPr>
        <w:t xml:space="preserve">)</w:t>
      </w:r>
    </w:p>
    <w:p w:rsidR="00000000" w:rsidDel="00000000" w:rsidP="00000000" w:rsidRDefault="00000000" w:rsidRPr="00000000" w14:paraId="00000010">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11">
      <w:pPr>
        <w:spacing w:after="0" w:line="240" w:lineRule="auto"/>
        <w:jc w:val="center"/>
        <w:rPr>
          <w:sz w:val="24"/>
          <w:szCs w:val="24"/>
        </w:rPr>
      </w:pPr>
      <w:r w:rsidDel="00000000" w:rsidR="00000000" w:rsidRPr="00000000">
        <w:rPr>
          <w:sz w:val="24"/>
          <w:szCs w:val="24"/>
          <w:rtl w:val="0"/>
        </w:rPr>
        <w:t xml:space="preserve">Afiliasi Penulis</w:t>
      </w:r>
    </w:p>
    <w:p w:rsidR="00000000" w:rsidDel="00000000" w:rsidP="00000000" w:rsidRDefault="00000000" w:rsidRPr="00000000" w14:paraId="00000012">
      <w:pPr>
        <w:spacing w:after="0" w:line="240" w:lineRule="auto"/>
        <w:jc w:val="center"/>
        <w:rPr>
          <w:sz w:val="24"/>
          <w:szCs w:val="24"/>
        </w:rPr>
      </w:pPr>
      <w:r w:rsidDel="00000000" w:rsidR="00000000" w:rsidRPr="00000000">
        <w:rPr>
          <w:sz w:val="24"/>
          <w:szCs w:val="24"/>
          <w:rtl w:val="0"/>
        </w:rPr>
        <w:t xml:space="preserve">(Afiliasi penulis ditulis dengan huruf Time New Roman 12 pt, di tengah)</w:t>
      </w:r>
    </w:p>
    <w:p w:rsidR="00000000" w:rsidDel="00000000" w:rsidP="00000000" w:rsidRDefault="00000000" w:rsidRPr="00000000" w14:paraId="00000013">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14">
      <w:pPr>
        <w:spacing w:after="0" w:line="240" w:lineRule="auto"/>
        <w:jc w:val="center"/>
        <w:rPr>
          <w:sz w:val="24"/>
          <w:szCs w:val="24"/>
        </w:rPr>
      </w:pPr>
      <w:r w:rsidDel="00000000" w:rsidR="00000000" w:rsidRPr="00000000">
        <w:rPr>
          <w:sz w:val="24"/>
          <w:szCs w:val="24"/>
          <w:rtl w:val="0"/>
        </w:rPr>
        <w:t xml:space="preserve">Penulis Kedua (Jika ada)</w:t>
      </w:r>
    </w:p>
    <w:p w:rsidR="00000000" w:rsidDel="00000000" w:rsidP="00000000" w:rsidRDefault="00000000" w:rsidRPr="00000000" w14:paraId="00000015">
      <w:pPr>
        <w:spacing w:after="0" w:line="240" w:lineRule="auto"/>
        <w:jc w:val="center"/>
        <w:rPr>
          <w:b w:val="1"/>
          <w:sz w:val="24"/>
          <w:szCs w:val="24"/>
        </w:rPr>
      </w:pPr>
      <w:r w:rsidDel="00000000" w:rsidR="00000000" w:rsidRPr="00000000">
        <w:rPr>
          <w:b w:val="1"/>
          <w:sz w:val="24"/>
          <w:szCs w:val="24"/>
          <w:rtl w:val="0"/>
        </w:rPr>
        <w:t xml:space="preserve">(Penulis kedua ditulis dengan huruf Time New Roman 12 pt, di tengah, bold, tanpa titel akademik)</w:t>
      </w:r>
    </w:p>
    <w:p w:rsidR="00000000" w:rsidDel="00000000" w:rsidP="00000000" w:rsidRDefault="00000000" w:rsidRPr="00000000" w14:paraId="00000016">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17">
      <w:pPr>
        <w:spacing w:after="0" w:line="240" w:lineRule="auto"/>
        <w:jc w:val="center"/>
        <w:rPr>
          <w:sz w:val="24"/>
          <w:szCs w:val="24"/>
        </w:rPr>
      </w:pPr>
      <w:r w:rsidDel="00000000" w:rsidR="00000000" w:rsidRPr="00000000">
        <w:rPr>
          <w:sz w:val="24"/>
          <w:szCs w:val="24"/>
          <w:rtl w:val="0"/>
        </w:rPr>
        <w:t xml:space="preserve">Afiliasi Penulis Kedua</w:t>
      </w:r>
    </w:p>
    <w:p w:rsidR="00000000" w:rsidDel="00000000" w:rsidP="00000000" w:rsidRDefault="00000000" w:rsidRPr="00000000" w14:paraId="00000018">
      <w:pPr>
        <w:spacing w:after="0" w:line="240" w:lineRule="auto"/>
        <w:jc w:val="center"/>
        <w:rPr>
          <w:sz w:val="24"/>
          <w:szCs w:val="24"/>
        </w:rPr>
      </w:pPr>
      <w:r w:rsidDel="00000000" w:rsidR="00000000" w:rsidRPr="00000000">
        <w:rPr>
          <w:sz w:val="24"/>
          <w:szCs w:val="24"/>
          <w:rtl w:val="0"/>
        </w:rPr>
        <w:t xml:space="preserve">(Afiliasi penulis ditulis dengan huruf Time New Roman 12 pt, di tengah)</w:t>
      </w:r>
    </w:p>
    <w:p w:rsidR="00000000" w:rsidDel="00000000" w:rsidP="00000000" w:rsidRDefault="00000000" w:rsidRPr="00000000" w14:paraId="00000019">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1A">
      <w:pPr>
        <w:spacing w:after="0" w:line="240" w:lineRule="auto"/>
        <w:jc w:val="center"/>
        <w:rPr>
          <w:sz w:val="24"/>
          <w:szCs w:val="24"/>
        </w:rPr>
      </w:pPr>
      <w:r w:rsidDel="00000000" w:rsidR="00000000" w:rsidRPr="00000000">
        <w:rPr>
          <w:sz w:val="24"/>
          <w:szCs w:val="24"/>
          <w:rtl w:val="0"/>
        </w:rPr>
        <w:t xml:space="preserve">Email </w:t>
      </w:r>
    </w:p>
    <w:p w:rsidR="00000000" w:rsidDel="00000000" w:rsidP="00000000" w:rsidRDefault="00000000" w:rsidRPr="00000000" w14:paraId="0000001B">
      <w:pPr>
        <w:spacing w:after="0" w:line="240" w:lineRule="auto"/>
        <w:jc w:val="center"/>
        <w:rPr>
          <w:i w:val="1"/>
          <w:sz w:val="24"/>
          <w:szCs w:val="24"/>
        </w:rPr>
      </w:pPr>
      <w:r w:rsidDel="00000000" w:rsidR="00000000" w:rsidRPr="00000000">
        <w:rPr>
          <w:sz w:val="24"/>
          <w:szCs w:val="24"/>
          <w:rtl w:val="0"/>
        </w:rPr>
        <w:t xml:space="preserve">(Email penulis pertama ditulis dengan huruf Time New Roman 12 pt, di tengah)</w:t>
      </w:r>
      <w:r w:rsidDel="00000000" w:rsidR="00000000" w:rsidRPr="00000000">
        <w:rPr>
          <w:rtl w:val="0"/>
        </w:rPr>
      </w:r>
    </w:p>
    <w:p w:rsidR="00000000" w:rsidDel="00000000" w:rsidP="00000000" w:rsidRDefault="00000000" w:rsidRPr="00000000" w14:paraId="0000001C">
      <w:pPr>
        <w:spacing w:after="0" w:line="240" w:lineRule="auto"/>
        <w:jc w:val="center"/>
        <w:rPr>
          <w:i w:val="1"/>
          <w:color w:val="ff0000"/>
          <w:sz w:val="24"/>
          <w:szCs w:val="24"/>
        </w:rPr>
      </w:pPr>
      <w:r w:rsidDel="00000000" w:rsidR="00000000" w:rsidRPr="00000000">
        <w:rPr>
          <w:i w:val="1"/>
          <w:color w:val="ff0000"/>
          <w:sz w:val="24"/>
          <w:szCs w:val="24"/>
          <w:rtl w:val="0"/>
        </w:rPr>
        <w:t xml:space="preserve">No WA: 08xxxxxxxxx (Wajib)</w:t>
      </w:r>
    </w:p>
    <w:p w:rsidR="00000000" w:rsidDel="00000000" w:rsidP="00000000" w:rsidRDefault="00000000" w:rsidRPr="00000000" w14:paraId="0000001D">
      <w:pPr>
        <w:spacing w:after="0" w:lineRule="auto"/>
        <w:jc w:val="center"/>
        <w:rPr>
          <w:i w:val="1"/>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sz w:val="24"/>
          <w:szCs w:val="24"/>
        </w:rPr>
      </w:pPr>
      <w:r w:rsidDel="00000000" w:rsidR="00000000" w:rsidRPr="00000000">
        <w:rPr>
          <w:b w:val="1"/>
          <w:sz w:val="24"/>
          <w:szCs w:val="24"/>
          <w:rtl w:val="0"/>
        </w:rPr>
        <w:t xml:space="preserve">Abstrak: </w:t>
      </w:r>
      <w:r w:rsidDel="00000000" w:rsidR="00000000" w:rsidRPr="00000000">
        <w:rPr>
          <w:sz w:val="24"/>
          <w:szCs w:val="24"/>
          <w:rtl w:val="0"/>
        </w:rPr>
        <w:t xml:space="preserve">Abstrak ditulis dalam Bahasa Inggris. Bila artikel berbahasa Inggris, maka abstrak ditulis dalam Bahasa Indonesia. Abstrak tidak boleh lebih dari 200 kata dan ditulis dengan spasi 1. Abstrak ditulis secara sistematis mencakup: 1) permasalahan penelitian; 2) pertanyaan penelitian; 3) metode; 4) temuan hasil penelitian beserta analisis; dan 5) ringkasan singkat dari interpretasi dan kesimpulan penulis. </w:t>
      </w:r>
    </w:p>
    <w:p w:rsidR="00000000" w:rsidDel="00000000" w:rsidP="00000000" w:rsidRDefault="00000000" w:rsidRPr="00000000" w14:paraId="0000001F">
      <w:pPr>
        <w:spacing w:after="0" w:line="240" w:lineRule="auto"/>
        <w:jc w:val="both"/>
        <w:rPr>
          <w:i w:val="1"/>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sz w:val="24"/>
          <w:szCs w:val="24"/>
        </w:rPr>
      </w:pPr>
      <w:r w:rsidDel="00000000" w:rsidR="00000000" w:rsidRPr="00000000">
        <w:rPr>
          <w:b w:val="1"/>
          <w:sz w:val="24"/>
          <w:szCs w:val="24"/>
          <w:rtl w:val="0"/>
        </w:rPr>
        <w:t xml:space="preserve">Keywords: </w:t>
      </w:r>
      <w:r w:rsidDel="00000000" w:rsidR="00000000" w:rsidRPr="00000000">
        <w:rPr>
          <w:i w:val="1"/>
          <w:sz w:val="24"/>
          <w:szCs w:val="24"/>
          <w:rtl w:val="0"/>
        </w:rPr>
        <w:t xml:space="preserve">Kata kunci  minimal 3 kata dan maksimal 5 kata </w:t>
      </w:r>
      <w:r w:rsidDel="00000000" w:rsidR="00000000" w:rsidRPr="00000000">
        <w:rPr>
          <w:sz w:val="24"/>
          <w:szCs w:val="24"/>
          <w:rtl w:val="0"/>
        </w:rPr>
        <w:t xml:space="preserve">(miring)</w:t>
      </w:r>
    </w:p>
    <w:p w:rsidR="00000000" w:rsidDel="00000000" w:rsidP="00000000" w:rsidRDefault="00000000" w:rsidRPr="00000000" w14:paraId="00000021">
      <w:pPr>
        <w:spacing w:after="0" w:line="360" w:lineRule="auto"/>
        <w:jc w:val="both"/>
        <w:rPr>
          <w:sz w:val="24"/>
          <w:szCs w:val="24"/>
        </w:rPr>
      </w:pPr>
      <w:r w:rsidDel="00000000" w:rsidR="00000000" w:rsidRPr="00000000">
        <w:rPr>
          <w:sz w:val="24"/>
          <w:szCs w:val="24"/>
          <w:rtl w:val="0"/>
        </w:rPr>
        <w:t xml:space="preserve">Struktur penulisan dalam jurnal Tafse: Journal of Qur'anic Studies mengikuti sistem pembahasan menggunakan format (</w:t>
      </w:r>
      <w:r w:rsidDel="00000000" w:rsidR="00000000" w:rsidRPr="00000000">
        <w:rPr>
          <w:i w:val="1"/>
          <w:sz w:val="24"/>
          <w:szCs w:val="24"/>
          <w:rtl w:val="0"/>
        </w:rPr>
        <w:t xml:space="preserve">Introduction, Result and Discussion, conclusion</w:t>
      </w:r>
      <w:r w:rsidDel="00000000" w:rsidR="00000000" w:rsidRPr="00000000">
        <w:rPr>
          <w:sz w:val="24"/>
          <w:szCs w:val="24"/>
          <w:rtl w:val="0"/>
        </w:rPr>
        <w:t xml:space="preserve">) di tulis dengan spasi 1,5 dan huruf Time New Roman 12 pt.</w:t>
      </w:r>
    </w:p>
    <w:p w:rsidR="00000000" w:rsidDel="00000000" w:rsidP="00000000" w:rsidRDefault="00000000" w:rsidRPr="00000000" w14:paraId="00000022">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23">
      <w:pPr>
        <w:spacing w:after="0" w:line="360" w:lineRule="auto"/>
        <w:jc w:val="both"/>
        <w:rPr>
          <w:b w:val="1"/>
          <w:sz w:val="24"/>
          <w:szCs w:val="24"/>
        </w:rPr>
      </w:pPr>
      <w:r w:rsidDel="00000000" w:rsidR="00000000" w:rsidRPr="00000000">
        <w:rPr>
          <w:b w:val="1"/>
          <w:sz w:val="24"/>
          <w:szCs w:val="24"/>
          <w:rtl w:val="0"/>
        </w:rPr>
        <w:t xml:space="preserve">Pendahuluan </w:t>
      </w:r>
    </w:p>
    <w:p w:rsidR="00000000" w:rsidDel="00000000" w:rsidP="00000000" w:rsidRDefault="00000000" w:rsidRPr="00000000" w14:paraId="00000024">
      <w:pPr>
        <w:spacing w:after="0" w:line="360" w:lineRule="auto"/>
        <w:ind w:firstLine="720"/>
        <w:jc w:val="both"/>
        <w:rPr>
          <w:sz w:val="24"/>
          <w:szCs w:val="24"/>
        </w:rPr>
      </w:pPr>
      <w:r w:rsidDel="00000000" w:rsidR="00000000" w:rsidRPr="00000000">
        <w:rPr>
          <w:sz w:val="24"/>
          <w:szCs w:val="24"/>
          <w:rtl w:val="0"/>
        </w:rPr>
        <w:t xml:space="preserve">Pendahuluan harus terdiri dari permasalahan penelitian, isu penting yang dikaji, tujuan, dan metode penulisan. Bagian ini memberikan kepada pembaca informasi penting tentang topik yang sedang dikaji, menunjukkan akar masalah yang sedang dipelajari, konteks masalah yang sesuai dalam kaitannya dengan teori, penelitian, dan/atau praktik, ruang lingkupnya, dan sejauh mana penelitian sebelumnya telah berhasil mengkaji masalah, dengan memperhatikan di mana posisi kajian yang sedang dilakukan.</w:t>
      </w:r>
    </w:p>
    <w:p w:rsidR="00000000" w:rsidDel="00000000" w:rsidP="00000000" w:rsidRDefault="00000000" w:rsidRPr="00000000" w14:paraId="00000025">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026">
      <w:pPr>
        <w:spacing w:after="0" w:line="360" w:lineRule="auto"/>
        <w:jc w:val="both"/>
        <w:rPr>
          <w:b w:val="1"/>
          <w:sz w:val="24"/>
          <w:szCs w:val="24"/>
        </w:rPr>
      </w:pPr>
      <w:r w:rsidDel="00000000" w:rsidR="00000000" w:rsidRPr="00000000">
        <w:rPr>
          <w:b w:val="1"/>
          <w:sz w:val="24"/>
          <w:szCs w:val="24"/>
          <w:rtl w:val="0"/>
        </w:rPr>
        <w:t xml:space="preserve">Pembahasan</w:t>
      </w:r>
    </w:p>
    <w:p w:rsidR="00000000" w:rsidDel="00000000" w:rsidP="00000000" w:rsidRDefault="00000000" w:rsidRPr="00000000" w14:paraId="00000027">
      <w:pPr>
        <w:spacing w:after="0" w:line="360" w:lineRule="auto"/>
        <w:ind w:firstLine="709"/>
        <w:jc w:val="both"/>
        <w:rPr>
          <w:sz w:val="24"/>
          <w:szCs w:val="24"/>
        </w:rPr>
      </w:pPr>
      <w:r w:rsidDel="00000000" w:rsidR="00000000" w:rsidRPr="00000000">
        <w:rPr>
          <w:sz w:val="24"/>
          <w:szCs w:val="24"/>
          <w:rtl w:val="0"/>
        </w:rPr>
        <w:t xml:space="preserve">Pembahasan berisi hasil temuan penelitian dan pembahasannya. Temuan-temuan yang diperoleh dari hasil penelitian yang telah dilakukan harus didukung dengan data yang memadai. Temuan-temuan diarahkan untuk menjawab pertanyaan atau hipotesis yang telah dikemukakan.</w:t>
      </w:r>
    </w:p>
    <w:p w:rsidR="00000000" w:rsidDel="00000000" w:rsidP="00000000" w:rsidRDefault="00000000" w:rsidRPr="00000000" w14:paraId="00000028">
      <w:pPr>
        <w:spacing w:after="0" w:line="360" w:lineRule="auto"/>
        <w:ind w:firstLine="709"/>
        <w:jc w:val="both"/>
        <w:rPr>
          <w:sz w:val="24"/>
          <w:szCs w:val="24"/>
        </w:rPr>
      </w:pPr>
      <w:r w:rsidDel="00000000" w:rsidR="00000000" w:rsidRPr="00000000">
        <w:rPr>
          <w:sz w:val="24"/>
          <w:szCs w:val="24"/>
          <w:rtl w:val="0"/>
        </w:rPr>
        <w:t xml:space="preserve">Penyajian data dan pembahasannya harus dilakukan dengan cara merujuk pada sumber-sumber primer dan mutakhir (10 tahun terakhir), terutama berasal dari artikel-artikel jurnal ilmiah. Bila rujukan tidak dapat menghindarkan sumber-sumber primer klasik, maka perujukan sumber primer tersebut harus didukung sumber-sumber mutakhir. Penggunaan sumber primer dalam keseluruhan artikel tidak kurang dari dua puluh sumber primer.</w:t>
      </w:r>
    </w:p>
    <w:p w:rsidR="00000000" w:rsidDel="00000000" w:rsidP="00000000" w:rsidRDefault="00000000" w:rsidRPr="00000000" w14:paraId="00000029">
      <w:pPr>
        <w:spacing w:after="0" w:line="360" w:lineRule="auto"/>
        <w:ind w:firstLine="709"/>
        <w:jc w:val="both"/>
        <w:rPr>
          <w:sz w:val="24"/>
          <w:szCs w:val="24"/>
        </w:rPr>
      </w:pPr>
      <w:r w:rsidDel="00000000" w:rsidR="00000000" w:rsidRPr="00000000">
        <w:rPr>
          <w:sz w:val="24"/>
          <w:szCs w:val="24"/>
          <w:rtl w:val="0"/>
        </w:rPr>
        <w:t xml:space="preserve">Dalam pembahasan, penulis artikel diharuskan untuk menyajikan sumber primer dalam bentuk catatan kaki (</w:t>
      </w:r>
      <w:r w:rsidDel="00000000" w:rsidR="00000000" w:rsidRPr="00000000">
        <w:rPr>
          <w:i w:val="1"/>
          <w:sz w:val="24"/>
          <w:szCs w:val="24"/>
          <w:rtl w:val="0"/>
        </w:rPr>
        <w:t xml:space="preserve">footnote</w:t>
      </w:r>
      <w:r w:rsidDel="00000000" w:rsidR="00000000" w:rsidRPr="00000000">
        <w:rPr>
          <w:sz w:val="24"/>
          <w:szCs w:val="24"/>
          <w:rtl w:val="0"/>
        </w:rPr>
        <w:t xml:space="preserve">) dan juga daftar kepustakaan (</w:t>
      </w:r>
      <w:r w:rsidDel="00000000" w:rsidR="00000000" w:rsidRPr="00000000">
        <w:rPr>
          <w:i w:val="1"/>
          <w:sz w:val="24"/>
          <w:szCs w:val="24"/>
          <w:rtl w:val="0"/>
        </w:rPr>
        <w:t xml:space="preserve">bibliography</w:t>
      </w:r>
      <w:r w:rsidDel="00000000" w:rsidR="00000000" w:rsidRPr="00000000">
        <w:rPr>
          <w:sz w:val="24"/>
          <w:szCs w:val="24"/>
          <w:rtl w:val="0"/>
        </w:rPr>
        <w:t xml:space="preserve">) menggunakan </w:t>
      </w:r>
      <w:r w:rsidDel="00000000" w:rsidR="00000000" w:rsidRPr="00000000">
        <w:rPr>
          <w:b w:val="1"/>
          <w:color w:val="111111"/>
          <w:sz w:val="24"/>
          <w:szCs w:val="24"/>
          <w:highlight w:val="white"/>
          <w:rtl w:val="0"/>
        </w:rPr>
        <w:t xml:space="preserve">Chicago Manual of Style 17th Edition (full note).</w:t>
      </w:r>
      <w:r w:rsidDel="00000000" w:rsidR="00000000" w:rsidRPr="00000000">
        <w:rPr>
          <w:sz w:val="24"/>
          <w:szCs w:val="24"/>
          <w:rtl w:val="0"/>
        </w:rPr>
        <w:t xml:space="preserve"> </w:t>
      </w:r>
    </w:p>
    <w:p w:rsidR="00000000" w:rsidDel="00000000" w:rsidP="00000000" w:rsidRDefault="00000000" w:rsidRPr="00000000" w14:paraId="0000002A">
      <w:pPr>
        <w:spacing w:after="0" w:line="360" w:lineRule="auto"/>
        <w:jc w:val="both"/>
        <w:rPr>
          <w:sz w:val="24"/>
          <w:szCs w:val="24"/>
        </w:rPr>
      </w:pPr>
      <w:r w:rsidDel="00000000" w:rsidR="00000000" w:rsidRPr="00000000">
        <w:rPr>
          <w:sz w:val="24"/>
          <w:szCs w:val="24"/>
          <w:rtl w:val="0"/>
        </w:rPr>
        <w:t xml:space="preserve">(</w:t>
      </w:r>
      <w:hyperlink r:id="rId7">
        <w:r w:rsidDel="00000000" w:rsidR="00000000" w:rsidRPr="00000000">
          <w:rPr>
            <w:color w:val="0000ff"/>
            <w:u w:val="single"/>
            <w:rtl w:val="0"/>
          </w:rPr>
          <w:t xml:space="preserve">https://www.chicagomanualofstyle.org/tools_citationguide/citation-guide-1.html</w:t>
        </w:r>
      </w:hyperlink>
      <w:r w:rsidDel="00000000" w:rsidR="00000000" w:rsidRPr="00000000">
        <w:rPr>
          <w:sz w:val="24"/>
          <w:szCs w:val="24"/>
          <w:rtl w:val="0"/>
        </w:rPr>
        <w:t xml:space="preserve">).  </w:t>
      </w:r>
    </w:p>
    <w:p w:rsidR="00000000" w:rsidDel="00000000" w:rsidP="00000000" w:rsidRDefault="00000000" w:rsidRPr="00000000" w14:paraId="0000002B">
      <w:pPr>
        <w:spacing w:after="0" w:line="360" w:lineRule="auto"/>
        <w:ind w:firstLine="709"/>
        <w:jc w:val="both"/>
        <w:rPr>
          <w:sz w:val="24"/>
          <w:szCs w:val="24"/>
        </w:rPr>
      </w:pPr>
      <w:r w:rsidDel="00000000" w:rsidR="00000000" w:rsidRPr="00000000">
        <w:rPr>
          <w:sz w:val="24"/>
          <w:szCs w:val="24"/>
          <w:rtl w:val="0"/>
        </w:rPr>
        <w:t xml:space="preserve">Dalam hal catatan kaki ditulis berulang, maka catatan kaki ditulis secara singkat. Gunakan aplikasi referensi Mendeley, Zotero, dan lain-lain dalam penulisan catatan kaki. </w:t>
      </w:r>
    </w:p>
    <w:p w:rsidR="00000000" w:rsidDel="00000000" w:rsidP="00000000" w:rsidRDefault="00000000" w:rsidRPr="00000000" w14:paraId="0000002C">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sz w:val="24"/>
          <w:szCs w:val="24"/>
        </w:rPr>
      </w:pPr>
      <w:r w:rsidDel="00000000" w:rsidR="00000000" w:rsidRPr="00000000">
        <w:rPr>
          <w:sz w:val="24"/>
          <w:szCs w:val="24"/>
          <w:rtl w:val="0"/>
        </w:rPr>
        <w:t xml:space="preserve">Contoh penulisan catatan kaki sebagai berikut: </w:t>
      </w:r>
    </w:p>
    <w:p w:rsidR="00000000" w:rsidDel="00000000" w:rsidP="00000000" w:rsidRDefault="00000000" w:rsidRPr="00000000" w14:paraId="0000002E">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b w:val="1"/>
          <w:sz w:val="24"/>
          <w:szCs w:val="24"/>
        </w:rPr>
      </w:pPr>
      <w:r w:rsidDel="00000000" w:rsidR="00000000" w:rsidRPr="00000000">
        <w:rPr>
          <w:b w:val="1"/>
          <w:sz w:val="24"/>
          <w:szCs w:val="24"/>
          <w:rtl w:val="0"/>
        </w:rPr>
        <w:t xml:space="preserve">Buku:</w:t>
      </w:r>
    </w:p>
    <w:p w:rsidR="00000000" w:rsidDel="00000000" w:rsidP="00000000" w:rsidRDefault="00000000" w:rsidRPr="00000000" w14:paraId="00000030">
      <w:pPr>
        <w:spacing w:after="0" w:line="240" w:lineRule="auto"/>
        <w:ind w:firstLine="709"/>
        <w:jc w:val="both"/>
        <w:rPr>
          <w:sz w:val="24"/>
          <w:szCs w:val="24"/>
        </w:rPr>
      </w:pPr>
      <w:r w:rsidDel="00000000" w:rsidR="00000000" w:rsidRPr="00000000">
        <w:rPr>
          <w:sz w:val="24"/>
          <w:szCs w:val="24"/>
          <w:rtl w:val="0"/>
        </w:rPr>
        <w:t xml:space="preserve">Wahbah Al-Zuhayli, </w:t>
      </w:r>
      <w:r w:rsidDel="00000000" w:rsidR="00000000" w:rsidRPr="00000000">
        <w:rPr>
          <w:i w:val="1"/>
          <w:sz w:val="24"/>
          <w:szCs w:val="24"/>
          <w:rtl w:val="0"/>
        </w:rPr>
        <w:t xml:space="preserve">Usul al-Fiqh al-Islami, </w:t>
      </w:r>
      <w:r w:rsidDel="00000000" w:rsidR="00000000" w:rsidRPr="00000000">
        <w:rPr>
          <w:sz w:val="24"/>
          <w:szCs w:val="24"/>
          <w:rtl w:val="0"/>
        </w:rPr>
        <w:t xml:space="preserve">Juz 2, 2nd ed. (Damaskus: Dar al-Fikr, 2004), 22. </w:t>
      </w:r>
    </w:p>
    <w:p w:rsidR="00000000" w:rsidDel="00000000" w:rsidP="00000000" w:rsidRDefault="00000000" w:rsidRPr="00000000" w14:paraId="00000031">
      <w:pPr>
        <w:spacing w:after="0" w:line="240" w:lineRule="auto"/>
        <w:ind w:firstLine="709"/>
        <w:jc w:val="both"/>
        <w:rPr>
          <w:sz w:val="24"/>
          <w:szCs w:val="24"/>
        </w:rPr>
      </w:pPr>
      <w:r w:rsidDel="00000000" w:rsidR="00000000" w:rsidRPr="00000000">
        <w:rPr>
          <w:rtl w:val="0"/>
        </w:rPr>
      </w:r>
    </w:p>
    <w:p w:rsidR="00000000" w:rsidDel="00000000" w:rsidP="00000000" w:rsidRDefault="00000000" w:rsidRPr="00000000" w14:paraId="00000032">
      <w:pPr>
        <w:spacing w:after="0" w:line="240" w:lineRule="auto"/>
        <w:ind w:firstLine="709"/>
        <w:jc w:val="both"/>
        <w:rPr>
          <w:sz w:val="24"/>
          <w:szCs w:val="24"/>
        </w:rPr>
      </w:pPr>
      <w:r w:rsidDel="00000000" w:rsidR="00000000" w:rsidRPr="00000000">
        <w:rPr>
          <w:sz w:val="24"/>
          <w:szCs w:val="24"/>
          <w:rtl w:val="0"/>
        </w:rPr>
        <w:t xml:space="preserve">Muhyiddin Yahya ibn Syaraf al-Nawawi, </w:t>
      </w:r>
      <w:r w:rsidDel="00000000" w:rsidR="00000000" w:rsidRPr="00000000">
        <w:rPr>
          <w:i w:val="1"/>
          <w:sz w:val="24"/>
          <w:szCs w:val="24"/>
          <w:rtl w:val="0"/>
        </w:rPr>
        <w:t xml:space="preserve">Al-Majmu’ Syarh al-Muhadhdhab, </w:t>
      </w:r>
      <w:r w:rsidDel="00000000" w:rsidR="00000000" w:rsidRPr="00000000">
        <w:rPr>
          <w:sz w:val="24"/>
          <w:szCs w:val="24"/>
          <w:rtl w:val="0"/>
        </w:rPr>
        <w:t xml:space="preserve">Jilid 4 (Beirut: Dar al-Fikr, 1999), 34.</w:t>
      </w:r>
    </w:p>
    <w:p w:rsidR="00000000" w:rsidDel="00000000" w:rsidP="00000000" w:rsidRDefault="00000000" w:rsidRPr="00000000" w14:paraId="00000033">
      <w:pPr>
        <w:spacing w:after="0" w:line="240" w:lineRule="auto"/>
        <w:ind w:left="851" w:hanging="130.99999999999994"/>
        <w:jc w:val="both"/>
        <w:rPr>
          <w:sz w:val="24"/>
          <w:szCs w:val="24"/>
          <w:highlight w:val="white"/>
        </w:rPr>
      </w:pPr>
      <w:r w:rsidDel="00000000" w:rsidR="00000000" w:rsidRPr="00000000">
        <w:rPr>
          <w:rtl w:val="0"/>
        </w:rPr>
      </w:r>
    </w:p>
    <w:p w:rsidR="00000000" w:rsidDel="00000000" w:rsidP="00000000" w:rsidRDefault="00000000" w:rsidRPr="00000000" w14:paraId="00000034">
      <w:pPr>
        <w:spacing w:after="0" w:line="240" w:lineRule="auto"/>
        <w:ind w:left="851" w:hanging="130.99999999999994"/>
        <w:jc w:val="both"/>
        <w:rPr>
          <w:sz w:val="24"/>
          <w:szCs w:val="24"/>
          <w:highlight w:val="white"/>
        </w:rPr>
      </w:pPr>
      <w:r w:rsidDel="00000000" w:rsidR="00000000" w:rsidRPr="00000000">
        <w:rPr>
          <w:sz w:val="24"/>
          <w:szCs w:val="24"/>
          <w:highlight w:val="white"/>
          <w:rtl w:val="0"/>
        </w:rPr>
        <w:t xml:space="preserve">Maizuddin, dkk, </w:t>
      </w:r>
      <w:r w:rsidDel="00000000" w:rsidR="00000000" w:rsidRPr="00000000">
        <w:rPr>
          <w:i w:val="1"/>
          <w:sz w:val="24"/>
          <w:szCs w:val="24"/>
          <w:highlight w:val="white"/>
          <w:rtl w:val="0"/>
        </w:rPr>
        <w:t xml:space="preserve">Tafsir Ayat Aqidah </w:t>
      </w:r>
      <w:r w:rsidDel="00000000" w:rsidR="00000000" w:rsidRPr="00000000">
        <w:rPr>
          <w:sz w:val="24"/>
          <w:szCs w:val="24"/>
          <w:highlight w:val="white"/>
          <w:rtl w:val="0"/>
        </w:rPr>
        <w:t xml:space="preserve">(Banda Aceh: Searfiqh, 2016), 200. </w:t>
      </w:r>
    </w:p>
    <w:p w:rsidR="00000000" w:rsidDel="00000000" w:rsidP="00000000" w:rsidRDefault="00000000" w:rsidRPr="00000000" w14:paraId="00000035">
      <w:pPr>
        <w:spacing w:after="0" w:line="240" w:lineRule="auto"/>
        <w:ind w:firstLine="709"/>
        <w:jc w:val="both"/>
        <w:rPr>
          <w:sz w:val="24"/>
          <w:szCs w:val="24"/>
        </w:rPr>
      </w:pPr>
      <w:r w:rsidDel="00000000" w:rsidR="00000000" w:rsidRPr="00000000">
        <w:rPr>
          <w:rtl w:val="0"/>
        </w:rPr>
      </w:r>
    </w:p>
    <w:p w:rsidR="00000000" w:rsidDel="00000000" w:rsidP="00000000" w:rsidRDefault="00000000" w:rsidRPr="00000000" w14:paraId="00000036">
      <w:pPr>
        <w:spacing w:after="0" w:line="240" w:lineRule="auto"/>
        <w:ind w:firstLine="709"/>
        <w:jc w:val="both"/>
        <w:rPr>
          <w:sz w:val="24"/>
          <w:szCs w:val="24"/>
        </w:rPr>
      </w:pPr>
      <w:r w:rsidDel="00000000" w:rsidR="00000000" w:rsidRPr="00000000">
        <w:rPr>
          <w:sz w:val="24"/>
          <w:szCs w:val="24"/>
          <w:rtl w:val="0"/>
        </w:rPr>
        <w:t xml:space="preserve">Muhammad ibn Luthfi al-Shabbagh, </w:t>
      </w:r>
      <w:r w:rsidDel="00000000" w:rsidR="00000000" w:rsidRPr="00000000">
        <w:rPr>
          <w:i w:val="1"/>
          <w:sz w:val="24"/>
          <w:szCs w:val="24"/>
          <w:rtl w:val="0"/>
        </w:rPr>
        <w:t xml:space="preserve">Lamhat fi Ulum al-Qur’an wa Ittijahat al-Tafsir</w:t>
      </w:r>
      <w:r w:rsidDel="00000000" w:rsidR="00000000" w:rsidRPr="00000000">
        <w:rPr>
          <w:sz w:val="24"/>
          <w:szCs w:val="24"/>
          <w:rtl w:val="0"/>
        </w:rPr>
        <w:t xml:space="preserve"> (Beirut: al-Maktabah al-Islami: 1990), 187.</w:t>
      </w:r>
    </w:p>
    <w:p w:rsidR="00000000" w:rsidDel="00000000" w:rsidP="00000000" w:rsidRDefault="00000000" w:rsidRPr="00000000" w14:paraId="0000003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b w:val="1"/>
          <w:sz w:val="24"/>
          <w:szCs w:val="24"/>
        </w:rPr>
      </w:pPr>
      <w:r w:rsidDel="00000000" w:rsidR="00000000" w:rsidRPr="00000000">
        <w:rPr>
          <w:b w:val="1"/>
          <w:sz w:val="24"/>
          <w:szCs w:val="24"/>
          <w:rtl w:val="0"/>
        </w:rPr>
        <w:t xml:space="preserve">Artikel Jurnal:</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Salman Abdul Muthalib, Practices of the I’adah Zuhur after Friday Prayers in Aceh Besar District: An Analysis with The Perspectives of Islamic Law Approaches,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Samarah: Jurnal Hukum Keluarga dan Hukum Islam,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 5</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(2021): 338–356.</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spacing w:after="0" w:line="240" w:lineRule="auto"/>
        <w:ind w:firstLine="709"/>
        <w:jc w:val="both"/>
        <w:rPr>
          <w:sz w:val="24"/>
          <w:szCs w:val="24"/>
        </w:rPr>
      </w:pPr>
      <w:r w:rsidDel="00000000" w:rsidR="00000000" w:rsidRPr="00000000">
        <w:rPr>
          <w:sz w:val="24"/>
          <w:szCs w:val="24"/>
          <w:rtl w:val="0"/>
        </w:rPr>
        <w:t xml:space="preserve">Mahmudin, “Rukhsah (Keringanan) Bagi Orang Sakit Dalam Perspektif Hukum Islam,” </w:t>
      </w:r>
      <w:r w:rsidDel="00000000" w:rsidR="00000000" w:rsidRPr="00000000">
        <w:rPr>
          <w:i w:val="1"/>
          <w:sz w:val="24"/>
          <w:szCs w:val="24"/>
          <w:rtl w:val="0"/>
        </w:rPr>
        <w:t xml:space="preserve">Jurnal Ilmiah Al-Qalam</w:t>
      </w:r>
      <w:r w:rsidDel="00000000" w:rsidR="00000000" w:rsidRPr="00000000">
        <w:rPr>
          <w:sz w:val="24"/>
          <w:szCs w:val="24"/>
          <w:rtl w:val="0"/>
        </w:rPr>
        <w:t xml:space="preserve">, Vol. 11, No. 23 (2017): 65–85.</w:t>
      </w:r>
    </w:p>
    <w:p w:rsidR="00000000" w:rsidDel="00000000" w:rsidP="00000000" w:rsidRDefault="00000000" w:rsidRPr="00000000" w14:paraId="0000003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b w:val="1"/>
          <w:sz w:val="24"/>
          <w:szCs w:val="24"/>
        </w:rPr>
      </w:pPr>
      <w:r w:rsidDel="00000000" w:rsidR="00000000" w:rsidRPr="00000000">
        <w:rPr>
          <w:b w:val="1"/>
          <w:sz w:val="24"/>
          <w:szCs w:val="24"/>
          <w:rtl w:val="0"/>
        </w:rPr>
        <w:t xml:space="preserve">Tesis:</w:t>
      </w:r>
    </w:p>
    <w:p w:rsidR="00000000" w:rsidDel="00000000" w:rsidP="00000000" w:rsidRDefault="00000000" w:rsidRPr="00000000" w14:paraId="0000003E">
      <w:pPr>
        <w:spacing w:after="0" w:line="240" w:lineRule="auto"/>
        <w:ind w:firstLine="709"/>
        <w:jc w:val="both"/>
        <w:rPr>
          <w:sz w:val="24"/>
          <w:szCs w:val="24"/>
        </w:rPr>
      </w:pPr>
      <w:r w:rsidDel="00000000" w:rsidR="00000000" w:rsidRPr="00000000">
        <w:rPr>
          <w:sz w:val="24"/>
          <w:szCs w:val="24"/>
          <w:rtl w:val="0"/>
        </w:rPr>
        <w:t xml:space="preserve">Muhammad Mustajab, “Analisis Peluang Dan Hambatan Dalam Pengumpulan Zakat Di Baitul Mal Pidie” (Universitas Islam Negeri Ar-Raniry Banda Aceh, 2019): 12.</w:t>
      </w:r>
    </w:p>
    <w:p w:rsidR="00000000" w:rsidDel="00000000" w:rsidP="00000000" w:rsidRDefault="00000000" w:rsidRPr="00000000" w14:paraId="0000003F">
      <w:pPr>
        <w:spacing w:after="0" w:line="240" w:lineRule="auto"/>
        <w:ind w:firstLine="709"/>
        <w:jc w:val="both"/>
        <w:rPr>
          <w:sz w:val="24"/>
          <w:szCs w:val="24"/>
        </w:rPr>
      </w:pPr>
      <w:r w:rsidDel="00000000" w:rsidR="00000000" w:rsidRPr="00000000">
        <w:rPr>
          <w:rtl w:val="0"/>
        </w:rPr>
      </w:r>
    </w:p>
    <w:p w:rsidR="00000000" w:rsidDel="00000000" w:rsidP="00000000" w:rsidRDefault="00000000" w:rsidRPr="00000000" w14:paraId="00000040">
      <w:pPr>
        <w:spacing w:after="0" w:line="240" w:lineRule="auto"/>
        <w:ind w:firstLine="709"/>
        <w:jc w:val="both"/>
        <w:rPr>
          <w:sz w:val="24"/>
          <w:szCs w:val="24"/>
        </w:rPr>
      </w:pPr>
      <w:r w:rsidDel="00000000" w:rsidR="00000000" w:rsidRPr="00000000">
        <w:rPr>
          <w:sz w:val="24"/>
          <w:szCs w:val="24"/>
          <w:rtl w:val="0"/>
        </w:rPr>
        <w:t xml:space="preserve">Zulhamdi, “Problematika Pengumpulan Dan Penyaluran Zakat Pada Baitul Mal Kabupaten Pidie” (Universitas Islam Negeri Ar-Raniry Banda Aceh, 2013): 5.</w:t>
      </w:r>
    </w:p>
    <w:p w:rsidR="00000000" w:rsidDel="00000000" w:rsidP="00000000" w:rsidRDefault="00000000" w:rsidRPr="00000000" w14:paraId="00000041">
      <w:pPr>
        <w:jc w:val="both"/>
        <w:rPr>
          <w:b w:val="1"/>
          <w:sz w:val="24"/>
          <w:szCs w:val="24"/>
        </w:rPr>
      </w:pPr>
      <w:r w:rsidDel="00000000" w:rsidR="00000000" w:rsidRPr="00000000">
        <w:rPr>
          <w:rtl w:val="0"/>
        </w:rPr>
      </w:r>
    </w:p>
    <w:p w:rsidR="00000000" w:rsidDel="00000000" w:rsidP="00000000" w:rsidRDefault="00000000" w:rsidRPr="00000000" w14:paraId="00000042">
      <w:pPr>
        <w:jc w:val="both"/>
        <w:rPr>
          <w:b w:val="1"/>
          <w:sz w:val="24"/>
          <w:szCs w:val="24"/>
        </w:rPr>
      </w:pPr>
      <w:r w:rsidDel="00000000" w:rsidR="00000000" w:rsidRPr="00000000">
        <w:rPr>
          <w:b w:val="1"/>
          <w:sz w:val="24"/>
          <w:szCs w:val="24"/>
          <w:rtl w:val="0"/>
        </w:rPr>
        <w:t xml:space="preserve">Kesimpulan</w:t>
      </w:r>
    </w:p>
    <w:p w:rsidR="00000000" w:rsidDel="00000000" w:rsidP="00000000" w:rsidRDefault="00000000" w:rsidRPr="00000000" w14:paraId="00000043">
      <w:pPr>
        <w:ind w:firstLine="720"/>
        <w:jc w:val="both"/>
        <w:rPr>
          <w:sz w:val="24"/>
          <w:szCs w:val="24"/>
        </w:rPr>
      </w:pPr>
      <w:r w:rsidDel="00000000" w:rsidR="00000000" w:rsidRPr="00000000">
        <w:rPr>
          <w:sz w:val="24"/>
          <w:szCs w:val="24"/>
          <w:rtl w:val="0"/>
        </w:rPr>
        <w:t xml:space="preserve">Pada kesimpulan, penulis menyimpulkan hasil pembahasan atau analisis dari poin-poin utama, dapat juga merekomendasikan wilayah baru untuk penelitian selanjutnya. Satu paragraf yang dikembangkan dengan baik cukup sebagai kesimpulan.</w:t>
      </w:r>
    </w:p>
    <w:p w:rsidR="00000000" w:rsidDel="00000000" w:rsidP="00000000" w:rsidRDefault="00000000" w:rsidRPr="00000000" w14:paraId="00000044">
      <w:pPr>
        <w:ind w:firstLine="7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5">
      <w:pPr>
        <w:jc w:val="center"/>
        <w:rPr>
          <w:b w:val="1"/>
          <w:sz w:val="24"/>
          <w:szCs w:val="24"/>
        </w:rPr>
      </w:pPr>
      <w:r w:rsidDel="00000000" w:rsidR="00000000" w:rsidRPr="00000000">
        <w:rPr>
          <w:b w:val="1"/>
          <w:sz w:val="24"/>
          <w:szCs w:val="24"/>
          <w:rtl w:val="0"/>
        </w:rPr>
        <w:t xml:space="preserve">Daftar Pustaka</w:t>
      </w:r>
    </w:p>
    <w:p w:rsidR="00000000" w:rsidDel="00000000" w:rsidP="00000000" w:rsidRDefault="00000000" w:rsidRPr="00000000" w14:paraId="00000046">
      <w:pPr>
        <w:rPr>
          <w:b w:val="1"/>
          <w:sz w:val="24"/>
          <w:szCs w:val="24"/>
        </w:rPr>
      </w:pPr>
      <w:r w:rsidDel="00000000" w:rsidR="00000000" w:rsidRPr="00000000">
        <w:rPr>
          <w:b w:val="1"/>
          <w:sz w:val="24"/>
          <w:szCs w:val="24"/>
          <w:rtl w:val="0"/>
        </w:rPr>
        <w:t xml:space="preserve"> (ditulis dengan huruf  Time New Roman 12 pt,  di tengah, bold)</w:t>
      </w:r>
    </w:p>
    <w:p w:rsidR="00000000" w:rsidDel="00000000" w:rsidP="00000000" w:rsidRDefault="00000000" w:rsidRPr="00000000" w14:paraId="00000047">
      <w:pPr>
        <w:ind w:firstLine="720"/>
        <w:jc w:val="both"/>
        <w:rPr>
          <w:sz w:val="24"/>
          <w:szCs w:val="24"/>
        </w:rPr>
      </w:pPr>
      <w:r w:rsidDel="00000000" w:rsidR="00000000" w:rsidRPr="00000000">
        <w:rPr>
          <w:sz w:val="24"/>
          <w:szCs w:val="24"/>
          <w:rtl w:val="0"/>
        </w:rPr>
        <w:t xml:space="preserve">Semua referensi ditulis dalam format yang sama dengan teks mengikuti  </w:t>
      </w:r>
      <w:r w:rsidDel="00000000" w:rsidR="00000000" w:rsidRPr="00000000">
        <w:rPr>
          <w:b w:val="1"/>
          <w:color w:val="111111"/>
          <w:sz w:val="24"/>
          <w:szCs w:val="24"/>
          <w:highlight w:val="white"/>
          <w:rtl w:val="0"/>
        </w:rPr>
        <w:t xml:space="preserve">Chicago Manual of Style 17th Edition</w:t>
      </w:r>
      <w:r w:rsidDel="00000000" w:rsidR="00000000" w:rsidRPr="00000000">
        <w:rPr>
          <w:sz w:val="24"/>
          <w:szCs w:val="24"/>
          <w:rtl w:val="0"/>
        </w:rPr>
        <w:t xml:space="preserve"> sebagaimana dijelaskan di atas.</w:t>
      </w:r>
      <w:r w:rsidDel="00000000" w:rsidR="00000000" w:rsidRPr="00000000">
        <w:rPr>
          <w:color w:val="ff0000"/>
          <w:sz w:val="24"/>
          <w:szCs w:val="24"/>
          <w:rtl w:val="0"/>
        </w:rPr>
        <w:t xml:space="preserve"> </w:t>
      </w:r>
      <w:r w:rsidDel="00000000" w:rsidR="00000000" w:rsidRPr="00000000">
        <w:rPr>
          <w:sz w:val="24"/>
          <w:szCs w:val="24"/>
          <w:rtl w:val="0"/>
        </w:rPr>
        <w:t xml:space="preserve">Urutkan daftar referensi menurut abjad. Penulis diharapkan untuk menggunakan perangkat lunak referensi seperti Mendeley, Zotero, dan lainnya. Referensi harus terdiri dari 80% sumber utama dan diterbitkan setidaknya 5 tahun yang lalu. </w:t>
      </w:r>
    </w:p>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Di bawah ini bagaimana contoh daftar kepustakaan:</w:t>
      </w:r>
    </w:p>
    <w:p w:rsidR="00000000" w:rsidDel="00000000" w:rsidP="00000000" w:rsidRDefault="00000000" w:rsidRPr="00000000" w14:paraId="00000049">
      <w:pPr>
        <w:spacing w:after="0" w:line="240" w:lineRule="auto"/>
        <w:ind w:left="709" w:hanging="709"/>
        <w:jc w:val="both"/>
        <w:rPr>
          <w:sz w:val="24"/>
          <w:szCs w:val="24"/>
        </w:rPr>
      </w:pPr>
      <w:r w:rsidDel="00000000" w:rsidR="00000000" w:rsidRPr="00000000">
        <w:rPr>
          <w:rtl w:val="0"/>
        </w:rPr>
      </w:r>
    </w:p>
    <w:p w:rsidR="00000000" w:rsidDel="00000000" w:rsidP="00000000" w:rsidRDefault="00000000" w:rsidRPr="00000000" w14:paraId="0000004A">
      <w:pPr>
        <w:spacing w:after="0" w:line="240" w:lineRule="auto"/>
        <w:ind w:left="709" w:hanging="709"/>
        <w:jc w:val="both"/>
        <w:rPr>
          <w:sz w:val="24"/>
          <w:szCs w:val="24"/>
        </w:rPr>
      </w:pPr>
      <w:r w:rsidDel="00000000" w:rsidR="00000000" w:rsidRPr="00000000">
        <w:rPr>
          <w:sz w:val="24"/>
          <w:szCs w:val="24"/>
          <w:rtl w:val="0"/>
        </w:rPr>
        <w:t xml:space="preserve">Al-Nawawi, Muhyiddin Yahya ibn Syaraf. </w:t>
      </w:r>
      <w:r w:rsidDel="00000000" w:rsidR="00000000" w:rsidRPr="00000000">
        <w:rPr>
          <w:i w:val="1"/>
          <w:sz w:val="24"/>
          <w:szCs w:val="24"/>
          <w:rtl w:val="0"/>
        </w:rPr>
        <w:t xml:space="preserve">Al-Majmu’ Syarh Al-Muhadhdhab, </w:t>
      </w:r>
      <w:r w:rsidDel="00000000" w:rsidR="00000000" w:rsidRPr="00000000">
        <w:rPr>
          <w:sz w:val="24"/>
          <w:szCs w:val="24"/>
          <w:rtl w:val="0"/>
        </w:rPr>
        <w:t xml:space="preserve">Jilid 4. Beirut: Dar al-Fikr, 1999.</w:t>
      </w:r>
    </w:p>
    <w:p w:rsidR="00000000" w:rsidDel="00000000" w:rsidP="00000000" w:rsidRDefault="00000000" w:rsidRPr="00000000" w14:paraId="0000004B">
      <w:pPr>
        <w:spacing w:after="0" w:line="240" w:lineRule="auto"/>
        <w:ind w:left="709" w:hanging="709"/>
        <w:jc w:val="both"/>
        <w:rPr>
          <w:sz w:val="24"/>
          <w:szCs w:val="24"/>
        </w:rPr>
      </w:pPr>
      <w:r w:rsidDel="00000000" w:rsidR="00000000" w:rsidRPr="00000000">
        <w:rPr>
          <w:rtl w:val="0"/>
        </w:rPr>
      </w:r>
    </w:p>
    <w:p w:rsidR="00000000" w:rsidDel="00000000" w:rsidP="00000000" w:rsidRDefault="00000000" w:rsidRPr="00000000" w14:paraId="0000004C">
      <w:pPr>
        <w:spacing w:after="0" w:line="240" w:lineRule="auto"/>
        <w:ind w:left="851" w:hanging="851"/>
        <w:jc w:val="both"/>
        <w:rPr>
          <w:sz w:val="24"/>
          <w:szCs w:val="24"/>
        </w:rPr>
      </w:pPr>
      <w:bookmarkStart w:colFirst="0" w:colLast="0" w:name="_heading=h.gjdgxs" w:id="0"/>
      <w:bookmarkEnd w:id="0"/>
      <w:r w:rsidDel="00000000" w:rsidR="00000000" w:rsidRPr="00000000">
        <w:rPr>
          <w:sz w:val="24"/>
          <w:szCs w:val="24"/>
          <w:rtl w:val="0"/>
        </w:rPr>
        <w:t xml:space="preserve">Al-Shabbagh, Muhammad ibn Luthfi.</w:t>
      </w:r>
      <w:r w:rsidDel="00000000" w:rsidR="00000000" w:rsidRPr="00000000">
        <w:rPr>
          <w:i w:val="1"/>
          <w:sz w:val="24"/>
          <w:szCs w:val="24"/>
          <w:rtl w:val="0"/>
        </w:rPr>
        <w:t xml:space="preserve"> Lamhat fi Ulum al-Qur’an wa Ittijahat al-Tafsir</w:t>
      </w:r>
      <w:r w:rsidDel="00000000" w:rsidR="00000000" w:rsidRPr="00000000">
        <w:rPr>
          <w:sz w:val="24"/>
          <w:szCs w:val="24"/>
          <w:rtl w:val="0"/>
        </w:rPr>
        <w:t xml:space="preserve">. Beirut: al-Maktabah al-Islami, 1990.</w:t>
      </w:r>
    </w:p>
    <w:p w:rsidR="00000000" w:rsidDel="00000000" w:rsidP="00000000" w:rsidRDefault="00000000" w:rsidRPr="00000000" w14:paraId="0000004D">
      <w:pPr>
        <w:spacing w:after="0" w:line="240" w:lineRule="auto"/>
        <w:ind w:left="851" w:hanging="851"/>
        <w:jc w:val="both"/>
        <w:rPr>
          <w:sz w:val="24"/>
          <w:szCs w:val="24"/>
        </w:rPr>
      </w:pPr>
      <w:r w:rsidDel="00000000" w:rsidR="00000000" w:rsidRPr="00000000">
        <w:rPr>
          <w:rtl w:val="0"/>
        </w:rPr>
      </w:r>
    </w:p>
    <w:p w:rsidR="00000000" w:rsidDel="00000000" w:rsidP="00000000" w:rsidRDefault="00000000" w:rsidRPr="00000000" w14:paraId="0000004E">
      <w:pPr>
        <w:widowControl w:val="0"/>
        <w:spacing w:after="0" w:line="240" w:lineRule="auto"/>
        <w:ind w:left="709" w:hanging="709"/>
        <w:jc w:val="both"/>
        <w:rPr>
          <w:sz w:val="24"/>
          <w:szCs w:val="24"/>
        </w:rPr>
      </w:pPr>
      <w:r w:rsidDel="00000000" w:rsidR="00000000" w:rsidRPr="00000000">
        <w:rPr>
          <w:sz w:val="24"/>
          <w:szCs w:val="24"/>
          <w:rtl w:val="0"/>
        </w:rPr>
        <w:t xml:space="preserve">Al-Zuhayli, Wahbah. </w:t>
      </w:r>
      <w:r w:rsidDel="00000000" w:rsidR="00000000" w:rsidRPr="00000000">
        <w:rPr>
          <w:i w:val="1"/>
          <w:sz w:val="24"/>
          <w:szCs w:val="24"/>
          <w:rtl w:val="0"/>
        </w:rPr>
        <w:t xml:space="preserve">Usul Al-Fiqh Al-Islami, </w:t>
      </w:r>
      <w:r w:rsidDel="00000000" w:rsidR="00000000" w:rsidRPr="00000000">
        <w:rPr>
          <w:sz w:val="24"/>
          <w:szCs w:val="24"/>
          <w:rtl w:val="0"/>
        </w:rPr>
        <w:t xml:space="preserve">Juz 2. 2nd ed. Damaskus: Dar al-Fikr, 2004.</w:t>
      </w:r>
    </w:p>
    <w:p w:rsidR="00000000" w:rsidDel="00000000" w:rsidP="00000000" w:rsidRDefault="00000000" w:rsidRPr="00000000" w14:paraId="0000004F">
      <w:pPr>
        <w:widowControl w:val="0"/>
        <w:spacing w:after="0" w:line="240" w:lineRule="auto"/>
        <w:ind w:left="709" w:hanging="709"/>
        <w:jc w:val="both"/>
        <w:rPr>
          <w:sz w:val="24"/>
          <w:szCs w:val="24"/>
        </w:rPr>
      </w:pPr>
      <w:r w:rsidDel="00000000" w:rsidR="00000000" w:rsidRPr="00000000">
        <w:rPr>
          <w:rtl w:val="0"/>
        </w:rPr>
      </w:r>
    </w:p>
    <w:p w:rsidR="00000000" w:rsidDel="00000000" w:rsidP="00000000" w:rsidRDefault="00000000" w:rsidRPr="00000000" w14:paraId="00000050">
      <w:pPr>
        <w:widowControl w:val="0"/>
        <w:spacing w:after="0" w:line="240" w:lineRule="auto"/>
        <w:ind w:left="709" w:hanging="709"/>
        <w:rPr>
          <w:sz w:val="24"/>
          <w:szCs w:val="24"/>
        </w:rPr>
      </w:pPr>
      <w:r w:rsidDel="00000000" w:rsidR="00000000" w:rsidRPr="00000000">
        <w:rPr>
          <w:sz w:val="24"/>
          <w:szCs w:val="24"/>
          <w:rtl w:val="0"/>
        </w:rPr>
        <w:t xml:space="preserve">Mahmudin. “Rukhsah (Keringanan) Bagi Orang Sakit Dalam Perspektif Hukum Islam.” </w:t>
      </w:r>
      <w:r w:rsidDel="00000000" w:rsidR="00000000" w:rsidRPr="00000000">
        <w:rPr>
          <w:i w:val="1"/>
          <w:sz w:val="24"/>
          <w:szCs w:val="24"/>
          <w:rtl w:val="0"/>
        </w:rPr>
        <w:t xml:space="preserve">Jurnal Ilmiah Al-Qalam,</w:t>
      </w:r>
      <w:r w:rsidDel="00000000" w:rsidR="00000000" w:rsidRPr="00000000">
        <w:rPr>
          <w:sz w:val="24"/>
          <w:szCs w:val="24"/>
          <w:rtl w:val="0"/>
        </w:rPr>
        <w:t xml:space="preserve"> vol. 11, no. 23 (2017).</w:t>
      </w:r>
    </w:p>
    <w:p w:rsidR="00000000" w:rsidDel="00000000" w:rsidP="00000000" w:rsidRDefault="00000000" w:rsidRPr="00000000" w14:paraId="00000051">
      <w:pPr>
        <w:widowControl w:val="0"/>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52">
      <w:pPr>
        <w:spacing w:after="0" w:line="240" w:lineRule="auto"/>
        <w:ind w:left="851" w:hanging="851"/>
        <w:jc w:val="both"/>
        <w:rPr>
          <w:sz w:val="24"/>
          <w:szCs w:val="24"/>
          <w:highlight w:val="white"/>
        </w:rPr>
      </w:pPr>
      <w:r w:rsidDel="00000000" w:rsidR="00000000" w:rsidRPr="00000000">
        <w:rPr>
          <w:sz w:val="24"/>
          <w:szCs w:val="24"/>
          <w:highlight w:val="white"/>
          <w:rtl w:val="0"/>
        </w:rPr>
        <w:t xml:space="preserve">Maizuddin, dkk. </w:t>
      </w:r>
      <w:r w:rsidDel="00000000" w:rsidR="00000000" w:rsidRPr="00000000">
        <w:rPr>
          <w:i w:val="1"/>
          <w:sz w:val="24"/>
          <w:szCs w:val="24"/>
          <w:highlight w:val="white"/>
          <w:rtl w:val="0"/>
        </w:rPr>
        <w:t xml:space="preserve">Tafsir Ayat Aqidah</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 </w:t>
      </w:r>
      <w:r w:rsidDel="00000000" w:rsidR="00000000" w:rsidRPr="00000000">
        <w:rPr>
          <w:sz w:val="24"/>
          <w:szCs w:val="24"/>
          <w:highlight w:val="white"/>
          <w:rtl w:val="0"/>
        </w:rPr>
        <w:t xml:space="preserve">Banda Aceh: Searfiqh, 2016. </w:t>
      </w:r>
    </w:p>
    <w:p w:rsidR="00000000" w:rsidDel="00000000" w:rsidP="00000000" w:rsidRDefault="00000000" w:rsidRPr="00000000" w14:paraId="00000053">
      <w:pPr>
        <w:spacing w:after="0" w:line="240" w:lineRule="auto"/>
        <w:ind w:left="851" w:hanging="851"/>
        <w:jc w:val="both"/>
        <w:rPr>
          <w:sz w:val="24"/>
          <w:szCs w:val="24"/>
          <w:highlight w:val="white"/>
        </w:rPr>
      </w:pPr>
      <w:r w:rsidDel="00000000" w:rsidR="00000000" w:rsidRPr="00000000">
        <w:rPr>
          <w:rtl w:val="0"/>
        </w:rPr>
      </w:r>
    </w:p>
    <w:p w:rsidR="00000000" w:rsidDel="00000000" w:rsidP="00000000" w:rsidRDefault="00000000" w:rsidRPr="00000000" w14:paraId="00000054">
      <w:pPr>
        <w:widowControl w:val="0"/>
        <w:spacing w:after="0" w:line="24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Mustajab, Muhammad. “Analisis Peluang Dan Hambatan Dalam Pengumpulan Zakat Di Baitul Mal Pidie.” Universitas Islam Negeri Ar-Raniry Banda Aceh, 2019.</w:t>
      </w:r>
    </w:p>
    <w:p w:rsidR="00000000" w:rsidDel="00000000" w:rsidP="00000000" w:rsidRDefault="00000000" w:rsidRPr="00000000" w14:paraId="00000055">
      <w:pPr>
        <w:widowControl w:val="0"/>
        <w:spacing w:after="0" w:line="240" w:lineRule="auto"/>
        <w:ind w:left="709" w:hanging="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ind w:left="709" w:hanging="709"/>
        <w:jc w:val="both"/>
        <w:rPr>
          <w:sz w:val="24"/>
          <w:szCs w:val="24"/>
        </w:rPr>
      </w:pPr>
      <w:r w:rsidDel="00000000" w:rsidR="00000000" w:rsidRPr="00000000">
        <w:rPr>
          <w:sz w:val="24"/>
          <w:szCs w:val="24"/>
          <w:rtl w:val="0"/>
        </w:rPr>
        <w:t xml:space="preserve">Salman Abdul Muthalib. “Practices of the I’adah Zuhur after Friday Prayers in Aceh Besar District: An Analysis with The Perspectives of Islamic Law Approaches.” </w:t>
      </w:r>
      <w:r w:rsidDel="00000000" w:rsidR="00000000" w:rsidRPr="00000000">
        <w:rPr>
          <w:i w:val="1"/>
          <w:sz w:val="24"/>
          <w:szCs w:val="24"/>
          <w:rtl w:val="0"/>
        </w:rPr>
        <w:t xml:space="preserve">Samarah: Jurnal Hukum Keluarga dan Hukum Islam</w:t>
      </w:r>
      <w:r w:rsidDel="00000000" w:rsidR="00000000" w:rsidRPr="00000000">
        <w:rPr>
          <w:sz w:val="24"/>
          <w:szCs w:val="24"/>
          <w:rtl w:val="0"/>
        </w:rPr>
        <w:t xml:space="preserve">, vol. 5, no. 1 (2021).</w:t>
      </w:r>
    </w:p>
    <w:p w:rsidR="00000000" w:rsidDel="00000000" w:rsidP="00000000" w:rsidRDefault="00000000" w:rsidRPr="00000000" w14:paraId="00000057">
      <w:pPr>
        <w:spacing w:after="0" w:line="240" w:lineRule="auto"/>
        <w:ind w:left="709" w:hanging="709"/>
        <w:jc w:val="both"/>
        <w:rPr>
          <w:sz w:val="24"/>
          <w:szCs w:val="24"/>
        </w:rPr>
      </w:pPr>
      <w:r w:rsidDel="00000000" w:rsidR="00000000" w:rsidRPr="00000000">
        <w:rPr>
          <w:rtl w:val="0"/>
        </w:rPr>
      </w:r>
    </w:p>
    <w:p w:rsidR="00000000" w:rsidDel="00000000" w:rsidP="00000000" w:rsidRDefault="00000000" w:rsidRPr="00000000" w14:paraId="00000058">
      <w:pPr>
        <w:widowControl w:val="0"/>
        <w:spacing w:after="0" w:line="24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Syandri, fadhlan Akbar. “Penggunaan Masker Penutup Wajah Saat Salat Sebagai Langkah Pencegahan Wabah Coronavirus Covid-19.” </w:t>
      </w:r>
      <w:r w:rsidDel="00000000" w:rsidR="00000000" w:rsidRPr="00000000">
        <w:rPr>
          <w:rFonts w:ascii="Times New Roman" w:cs="Times New Roman" w:eastAsia="Times New Roman" w:hAnsi="Times New Roman"/>
          <w:i w:val="1"/>
          <w:sz w:val="24"/>
          <w:szCs w:val="24"/>
          <w:rtl w:val="0"/>
        </w:rPr>
        <w:t xml:space="preserve">SALAM; Jurnal Sosial &amp; Budaya Syar’i, </w:t>
      </w:r>
      <w:r w:rsidDel="00000000" w:rsidR="00000000" w:rsidRPr="00000000">
        <w:rPr>
          <w:rFonts w:ascii="Times New Roman" w:cs="Times New Roman" w:eastAsia="Times New Roman" w:hAnsi="Times New Roman"/>
          <w:sz w:val="24"/>
          <w:szCs w:val="24"/>
          <w:rtl w:val="0"/>
        </w:rPr>
        <w:t xml:space="preserve">vol. 7, no. 3 (2020).</w:t>
      </w:r>
    </w:p>
    <w:p w:rsidR="00000000" w:rsidDel="00000000" w:rsidP="00000000" w:rsidRDefault="00000000" w:rsidRPr="00000000" w14:paraId="00000059">
      <w:pPr>
        <w:widowControl w:val="0"/>
        <w:spacing w:after="0" w:line="240" w:lineRule="auto"/>
        <w:ind w:left="709"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after="0" w:line="240" w:lineRule="auto"/>
        <w:ind w:left="709" w:hanging="709"/>
        <w:jc w:val="both"/>
        <w:rPr/>
      </w:pPr>
      <w:r w:rsidDel="00000000" w:rsidR="00000000" w:rsidRPr="00000000">
        <w:rPr>
          <w:rFonts w:ascii="Times New Roman" w:cs="Times New Roman" w:eastAsia="Times New Roman" w:hAnsi="Times New Roman"/>
          <w:sz w:val="24"/>
          <w:szCs w:val="24"/>
          <w:rtl w:val="0"/>
        </w:rPr>
        <w:t xml:space="preserve">Zulhamdi. “Problematika Pengumpulan Dan Penyaluran Zakat Pada Baitul Mal Kabupaten Pidie.” Universitas Islam Negeri Ar-Raniry Banda Aceh, 2013.</w:t>
      </w:r>
      <w:r w:rsidDel="00000000" w:rsidR="00000000" w:rsidRPr="00000000">
        <w:rPr>
          <w:rtl w:val="0"/>
        </w:rPr>
      </w:r>
    </w:p>
    <w:sectPr>
      <w:pgSz w:h="16838" w:w="11906"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2698E"/>
    <w:rPr>
      <w:rFonts w:ascii="Calibri" w:cs="Arial" w:eastAsia="Calibri" w:hAnsi="Calibri"/>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111A4"/>
    <w:rPr>
      <w:color w:val="0000ff" w:themeColor="hyperlink"/>
      <w:u w:val="single"/>
    </w:rPr>
  </w:style>
  <w:style w:type="paragraph" w:styleId="FootnoteText">
    <w:name w:val="footnote text"/>
    <w:basedOn w:val="Normal"/>
    <w:link w:val="FootnoteTextChar"/>
    <w:unhideWhenUsed w:val="1"/>
    <w:rsid w:val="007111A4"/>
    <w:rPr>
      <w:sz w:val="20"/>
      <w:szCs w:val="20"/>
    </w:rPr>
  </w:style>
  <w:style w:type="character" w:styleId="FootnoteTextChar" w:customStyle="1">
    <w:name w:val="Footnote Text Char"/>
    <w:basedOn w:val="DefaultParagraphFont"/>
    <w:link w:val="FootnoteText"/>
    <w:uiPriority w:val="99"/>
    <w:rsid w:val="007111A4"/>
    <w:rPr>
      <w:rFonts w:ascii="Calibri" w:cs="Arial" w:eastAsia="Calibri" w:hAnsi="Calibri"/>
      <w:sz w:val="20"/>
      <w:szCs w:val="20"/>
      <w:lang w:val="en-US"/>
    </w:rPr>
  </w:style>
  <w:style w:type="paragraph" w:styleId="BalloonText">
    <w:name w:val="Balloon Text"/>
    <w:basedOn w:val="Normal"/>
    <w:link w:val="BalloonTextChar"/>
    <w:uiPriority w:val="99"/>
    <w:semiHidden w:val="1"/>
    <w:unhideWhenUsed w:val="1"/>
    <w:rsid w:val="007111A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111A4"/>
    <w:rPr>
      <w:rFonts w:ascii="Tahoma" w:cs="Tahoma" w:eastAsia="Calibri" w:hAnsi="Tahoma"/>
      <w:sz w:val="16"/>
      <w:szCs w:val="16"/>
      <w:lang w:val="en-US"/>
    </w:rPr>
  </w:style>
  <w:style w:type="paragraph" w:styleId="HTMLPreformatted">
    <w:name w:val="HTML Preformatted"/>
    <w:basedOn w:val="Normal"/>
    <w:link w:val="HTMLPreformattedChar"/>
    <w:uiPriority w:val="99"/>
    <w:semiHidden w:val="1"/>
    <w:unhideWhenUsed w:val="1"/>
    <w:rsid w:val="007D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id-ID" w:val="id-ID"/>
    </w:rPr>
  </w:style>
  <w:style w:type="character" w:styleId="HTMLPreformattedChar" w:customStyle="1">
    <w:name w:val="HTML Preformatted Char"/>
    <w:basedOn w:val="DefaultParagraphFont"/>
    <w:link w:val="HTMLPreformatted"/>
    <w:uiPriority w:val="99"/>
    <w:semiHidden w:val="1"/>
    <w:rsid w:val="007D1E02"/>
    <w:rPr>
      <w:rFonts w:ascii="Courier New" w:cs="Courier New" w:eastAsia="Times New Roman" w:hAnsi="Courier New"/>
      <w:sz w:val="20"/>
      <w:szCs w:val="20"/>
      <w:lang w:eastAsia="id-ID"/>
    </w:rPr>
  </w:style>
  <w:style w:type="character" w:styleId="y2iqfc" w:customStyle="1">
    <w:name w:val="y2iqfc"/>
    <w:basedOn w:val="DefaultParagraphFont"/>
    <w:rsid w:val="007D1E02"/>
  </w:style>
  <w:style w:type="paragraph" w:styleId="Header">
    <w:name w:val="header"/>
    <w:basedOn w:val="Normal"/>
    <w:link w:val="HeaderChar"/>
    <w:uiPriority w:val="99"/>
    <w:unhideWhenUsed w:val="1"/>
    <w:rsid w:val="0066359D"/>
    <w:pPr>
      <w:tabs>
        <w:tab w:val="center" w:pos="4153"/>
        <w:tab w:val="right" w:pos="8306"/>
      </w:tabs>
      <w:spacing w:after="0" w:line="240" w:lineRule="auto"/>
    </w:pPr>
  </w:style>
  <w:style w:type="character" w:styleId="HeaderChar" w:customStyle="1">
    <w:name w:val="Header Char"/>
    <w:basedOn w:val="DefaultParagraphFont"/>
    <w:link w:val="Header"/>
    <w:uiPriority w:val="99"/>
    <w:rsid w:val="0066359D"/>
    <w:rPr>
      <w:rFonts w:ascii="Calibri" w:cs="Arial" w:eastAsia="Calibri" w:hAnsi="Calibri"/>
      <w:lang w:val="en-US"/>
    </w:rPr>
  </w:style>
  <w:style w:type="paragraph" w:styleId="Footer">
    <w:name w:val="footer"/>
    <w:basedOn w:val="Normal"/>
    <w:link w:val="FooterChar"/>
    <w:uiPriority w:val="99"/>
    <w:unhideWhenUsed w:val="1"/>
    <w:rsid w:val="0066359D"/>
    <w:pPr>
      <w:tabs>
        <w:tab w:val="center" w:pos="4153"/>
        <w:tab w:val="right" w:pos="8306"/>
      </w:tabs>
      <w:spacing w:after="0" w:line="240" w:lineRule="auto"/>
    </w:pPr>
  </w:style>
  <w:style w:type="character" w:styleId="FooterChar" w:customStyle="1">
    <w:name w:val="Footer Char"/>
    <w:basedOn w:val="DefaultParagraphFont"/>
    <w:link w:val="Footer"/>
    <w:uiPriority w:val="99"/>
    <w:rsid w:val="0066359D"/>
    <w:rPr>
      <w:rFonts w:ascii="Calibri" w:cs="Arial" w:eastAsia="Calibri" w:hAnsi="Calibri"/>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hicagomanualofstyle.org/tools_citationguide/citation-guide-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At0+76+v588Uan0gwIyduOu1sg==">CgMxLjAyCGguZ2pkZ3hzOAByITFVdF90WWNRdG9NUnFDWlNCVkYzY2tLZ1M2a1dzN3g4Uw==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2021-10-26T00:01:00Z</dcterms:created>
  <dc:creator>TOSHIBA</dc:creator>
</cp:coreProperties>
</file>